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40" w:before="0" w:after="0"/>
        <w:jc w:val="right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Утверждена</w:t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постановлением</w:t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Администрации</w:t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Красносельского муниципального района </w:t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Костромской области</w:t>
      </w:r>
    </w:p>
    <w:p>
      <w:pPr>
        <w:pStyle w:val="Normal"/>
        <w:bidi w:val="0"/>
        <w:spacing w:lineRule="auto" w:line="240" w:before="0" w:after="0"/>
        <w:jc w:val="right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от «15»___01__ 2024 года №_1__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 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  <w:bookmarkStart w:id="0" w:name="P30"/>
      <w:bookmarkStart w:id="1" w:name="P30"/>
      <w:bookmarkEnd w:id="1"/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МУНИЦИПАЛЬНАЯ  ПРОГРАММА 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ПО ОБЕСПЕЧЕНИЮ ИНФРАСТРУКТУРОЙ ЗЕМЕЛЬНЫХ УЧАСТКОВ 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ДЛЯ ОСУЩЕСТВЛЕНИЯ ЖИЛИЩНОГО СТРОИТЕЛЬСТВА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i/>
          <w:i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НА ТЕРРИТОРИИ КРАСНОСЕЛЬСКОГО МУНИЦИПАЛЬНОГО РАЙОНА КОСТРОМСКОЙ ОБЛАСТИ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i/>
          <w:i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i/>
          <w:color w:val="000000"/>
          <w:sz w:val="27"/>
          <w:szCs w:val="27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Раздел I. ПАСПОРТ МУНИЦИПАЛЬНОЙ  ПРОГРАММЫ ПО ОБЕСПЕЧЕНИЮ ИНФРАСТРУКТУРОЙ 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i/>
          <w:i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ЗЕМЕЛЬНЫХ УЧАСТКОВ ДЛЯ ОСУЩЕСТВЛЕНИЯ ЖИЛИЩНОГО СТРОИТЕЛЬСТВА НА ТЕРРИТОРИИ КРАСНОСЕЛЬСКОГО МУНИЦИПАЛЬНОГО РАЙОНА КОСТРОМСКОЙ ОБЛАСТИ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(ДАЛЕЕ - МУНИЦИПАЛЬНАЯ ПРОГРАММА)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 </w:t>
      </w:r>
    </w:p>
    <w:tbl>
      <w:tblPr>
        <w:tblW w:w="9071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265"/>
        <w:gridCol w:w="6806"/>
      </w:tblGrid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806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Комитет строительства, ЖКХ и ООС администрации муниципального района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Исполнители Муниципальной программы</w:t>
            </w:r>
          </w:p>
        </w:tc>
        <w:tc>
          <w:tcPr>
            <w:tcW w:w="6806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Комитет строительства, ЖКХ и ООС администрации Красносельского муниципального района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Комитет архитектуры, имущественных и земельных отношений администрации Красносельского муниципального района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806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09"/>
                <w:tab w:val="left" w:pos="337" w:leader="none"/>
              </w:tabs>
              <w:bidi w:val="0"/>
              <w:spacing w:lineRule="auto" w:line="240" w:before="0" w:after="0"/>
              <w:ind w:left="14" w:right="0" w:hanging="0"/>
              <w:contextualSpacing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Комитет экономики и предпринимательской деятельности администрации  Красносельского муниципального района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09"/>
                <w:tab w:val="left" w:pos="360" w:leader="none"/>
              </w:tabs>
              <w:bidi w:val="0"/>
              <w:spacing w:lineRule="auto" w:line="240" w:before="0" w:after="0"/>
              <w:ind w:left="14" w:right="0" w:hanging="0"/>
              <w:contextualSpacing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Финансовое управление администрации  Красносельского муниципального района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Участники Муниципальной программы</w:t>
            </w:r>
          </w:p>
        </w:tc>
        <w:tc>
          <w:tcPr>
            <w:tcW w:w="6806" w:type="dxa"/>
            <w:tcBorders/>
          </w:tcPr>
          <w:p>
            <w:pPr>
              <w:pStyle w:val="ListParagraph"/>
              <w:widowControl w:val="false"/>
              <w:tabs>
                <w:tab w:val="clear" w:pos="709"/>
                <w:tab w:val="left" w:pos="1029" w:leader="none"/>
              </w:tabs>
              <w:bidi w:val="0"/>
              <w:ind w:left="720" w:right="0" w:hanging="0"/>
              <w:rPr/>
            </w:pPr>
            <w:r>
              <w:rPr/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330" w:leader="none"/>
              </w:tabs>
              <w:bidi w:val="0"/>
              <w:spacing w:lineRule="auto" w:line="240" w:before="0" w:after="0"/>
              <w:ind w:left="21" w:right="0" w:hanging="0"/>
              <w:contextualSpacing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1)</w:t>
            </w:r>
            <w:r>
              <w:rPr>
                <w:rFonts w:eastAsia="Times New Roman" w:cs="Times New Roman" w:ascii="Times New Roman" w:hAnsi="Times New Roman"/>
                <w:i/>
                <w:sz w:val="27"/>
                <w:szCs w:val="27"/>
                <w:lang w:eastAsia="ru-RU"/>
              </w:rPr>
              <w:t>участники специальной военной операции и члены их семей;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330" w:leader="none"/>
              </w:tabs>
              <w:bidi w:val="0"/>
              <w:spacing w:lineRule="auto" w:line="240" w:before="0" w:after="0"/>
              <w:ind w:left="21" w:right="0" w:hanging="0"/>
              <w:contextualSpacing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7"/>
                <w:szCs w:val="27"/>
                <w:lang w:eastAsia="ru-RU"/>
              </w:rPr>
              <w:t>2) семьи, имеющие трех и более детей;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330" w:leader="none"/>
              </w:tabs>
              <w:bidi w:val="0"/>
              <w:spacing w:lineRule="auto" w:line="240" w:before="0" w:after="0"/>
              <w:ind w:left="21" w:right="0" w:hanging="0"/>
              <w:contextualSpacing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7"/>
                <w:szCs w:val="27"/>
                <w:lang w:eastAsia="ru-RU"/>
              </w:rPr>
              <w:t>3)молодые семьи</w:t>
            </w:r>
          </w:p>
          <w:p>
            <w:pPr>
              <w:pStyle w:val="ListParagraph"/>
              <w:widowControl w:val="false"/>
              <w:tabs>
                <w:tab w:val="clear" w:pos="709"/>
                <w:tab w:val="left" w:pos="309" w:leader="none"/>
              </w:tabs>
              <w:bidi w:val="0"/>
              <w:spacing w:lineRule="auto" w:line="240" w:before="0" w:after="0"/>
              <w:ind w:left="0" w:right="0" w:hanging="0"/>
              <w:contextualSpacing/>
              <w:jc w:val="both"/>
              <w:rPr/>
            </w:pPr>
            <w:r>
              <w:rPr/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806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2024-2028 годы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Цель Муниципальной программы</w:t>
            </w:r>
          </w:p>
        </w:tc>
        <w:tc>
          <w:tcPr>
            <w:tcW w:w="6806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Улучшение жилищных условий  участников специальной военной операции и членов их семей, семей, имеющих 3-х и более детей, молодых семей.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Задачи Муниципальной программы</w:t>
            </w:r>
          </w:p>
        </w:tc>
        <w:tc>
          <w:tcPr>
            <w:tcW w:w="680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246" w:leader="none"/>
              </w:tabs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1. Предоставление земельных участков, обеспеченных объектами инфраструктуры участникам специальной военной операции и членам их семей, семьям, имеющих 3-х и более детей, молодым семьям.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46" w:leader="none"/>
              </w:tabs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2. Определение источников финансирования для создания объектов инфраструктуры;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46" w:leader="none"/>
              </w:tabs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3. Выработка механизма обеспечения земельных участков объектами необходимой инфраструктуры.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680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298" w:leader="none"/>
              </w:tabs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1. Количество семей, улучшивших жилищные условия (единиц).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98" w:leader="none"/>
              </w:tabs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2. Количество и площадь земельных участков, обеспеченных инфраструктурой, для жилищного строительства (единиц и кв. метров);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98" w:leader="none"/>
              </w:tabs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3. Количество и площадь земельных участков, обеспеченных инфраструктурой, предоставленных различным категориям граждан для жилищного строительства(единиц и кв. метров);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298" w:leader="none"/>
              </w:tabs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4. Количество и площадь жилых домов, введенных в эксплуатацию, для различных категорий граждан, (единиц и кв. метров).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6806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 xml:space="preserve">Общий объем финансирования Муниципальной программы составляет 192 644 </w:t>
            </w:r>
            <w:r>
              <w:rPr>
                <w:rFonts w:eastAsia="Times New Roman" w:cs="Times New Roman" w:ascii="Times New Roman" w:hAnsi="Times New Roman"/>
                <w:color w:val="C9211E"/>
                <w:sz w:val="27"/>
                <w:szCs w:val="27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тыс. руб., в том числе: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федеральный бюджет - _0_______________ тыс. руб.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 xml:space="preserve">областной бюджет – </w:t>
            </w: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189 022</w:t>
            </w: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 xml:space="preserve"> тыс. руб.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местный бюджет -</w:t>
            </w: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3 622</w:t>
            </w:r>
            <w:r>
              <w:rPr>
                <w:rFonts w:eastAsia="Times New Roman" w:cs="Times New Roman" w:ascii="Times New Roman" w:hAnsi="Times New Roman"/>
                <w:color w:val="FF0000"/>
                <w:sz w:val="27"/>
                <w:szCs w:val="27"/>
                <w:lang w:eastAsia="ru-RU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тыс. руб.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внебюджетные источники - ______0_______ тыс. руб.</w:t>
            </w:r>
          </w:p>
        </w:tc>
      </w:tr>
      <w:tr>
        <w:trPr/>
        <w:tc>
          <w:tcPr>
            <w:tcW w:w="2265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Ожидаемые результаты от реализации Муниципальной программы</w:t>
            </w:r>
          </w:p>
        </w:tc>
        <w:tc>
          <w:tcPr>
            <w:tcW w:w="6806" w:type="dxa"/>
            <w:tcBorders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 xml:space="preserve">1. Количество семей, улучшивших жилищные условия </w:t>
            </w:r>
            <w:r>
              <w:rPr>
                <w:rFonts w:eastAsia="Times New Roman" w:cs="Times New Roman" w:ascii="Times New Roman" w:hAnsi="Times New Roman"/>
                <w:i/>
                <w:sz w:val="27"/>
                <w:szCs w:val="27"/>
                <w:lang w:eastAsia="ru-RU"/>
              </w:rPr>
              <w:t xml:space="preserve">- </w:t>
            </w: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 xml:space="preserve">438 </w:t>
            </w: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 xml:space="preserve"> единиц;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 xml:space="preserve">2. Количество и площадь земельных участков, обеспеченных инфраструктурой, для жилищного строительства - _435__единиц, </w:t>
            </w:r>
            <w:r>
              <w:rPr>
                <w:rFonts w:eastAsia="Times New Roman" w:cs="Times New Roman" w:ascii="Times New Roman" w:hAnsi="Times New Roman"/>
                <w:color w:val="F10D0C"/>
                <w:sz w:val="27"/>
                <w:szCs w:val="27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418507</w:t>
            </w: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 xml:space="preserve"> кв. метров;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 xml:space="preserve">3. Количество и площадь земельных участков, обеспеченных инфраструктурой, предоставленных различным категориям граждан для жилищного строительства —435 единиц, </w:t>
            </w: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418507</w:t>
            </w: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 xml:space="preserve"> кв. метров;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color w:val="FF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4. Количество и площадь жилых домов, введенных в эксплуатацию, для различных категорий граждан —</w:t>
            </w: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 xml:space="preserve"> 435</w:t>
            </w: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 xml:space="preserve"> единиц, </w:t>
            </w: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 xml:space="preserve">43750 </w:t>
            </w: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 xml:space="preserve"> кв. метров.</w:t>
            </w:r>
          </w:p>
        </w:tc>
      </w:tr>
    </w:tbl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Раздел II. ХАРАКТЕРИСТИКА ТЕКУЩЕГО СОСТОЯНИЯ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СФЕРЫ РЕАЛИЗАЦИИ МУНИЦИПАЛЬНОЙ ПРОГРАММЫ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 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2.1. Развитие жилищного строительства и, прежде всего, улучшение жилищных условий граждан Красносельского муниципального района Костромской области является главным фактором, обеспечивающим благосостояние его жителей.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Основной задачей становится определение и предоставление земельных участков для жилищного строительства, которые обеспечены объектами социальной, транспортной и инженерной инфраструктурой.</w:t>
      </w:r>
    </w:p>
    <w:p>
      <w:pPr>
        <w:pStyle w:val="Normal"/>
        <w:bidi w:val="0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7"/>
          <w:szCs w:val="27"/>
        </w:rPr>
        <w:t xml:space="preserve">2.2. В 2023 году администрацией 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Красносельского муниципального района Костромской области </w:t>
      </w:r>
      <w:r>
        <w:rPr>
          <w:rFonts w:cs="Times New Roman" w:ascii="Times New Roman" w:hAnsi="Times New Roman"/>
          <w:sz w:val="27"/>
          <w:szCs w:val="27"/>
        </w:rPr>
        <w:t xml:space="preserve">проведено </w:t>
      </w:r>
      <w:r>
        <w:rPr>
          <w:rFonts w:cs="Times New Roman" w:ascii="Times New Roman" w:hAnsi="Times New Roman"/>
          <w:color w:val="000000"/>
          <w:sz w:val="27"/>
          <w:szCs w:val="27"/>
        </w:rPr>
        <w:t>11</w:t>
      </w:r>
      <w:r>
        <w:rPr>
          <w:rFonts w:cs="Times New Roman" w:ascii="Times New Roman" w:hAnsi="Times New Roman"/>
          <w:sz w:val="27"/>
          <w:szCs w:val="27"/>
        </w:rPr>
        <w:t xml:space="preserve"> аукционов на право заключения договора аренды в отношении </w:t>
      </w:r>
      <w:r>
        <w:rPr>
          <w:rFonts w:cs="Times New Roman" w:ascii="Times New Roman" w:hAnsi="Times New Roman"/>
          <w:color w:val="000000"/>
          <w:sz w:val="27"/>
          <w:szCs w:val="27"/>
        </w:rPr>
        <w:t>11</w:t>
      </w:r>
      <w:r>
        <w:rPr>
          <w:rFonts w:cs="Times New Roman" w:ascii="Times New Roman" w:hAnsi="Times New Roman"/>
          <w:sz w:val="27"/>
          <w:szCs w:val="27"/>
        </w:rPr>
        <w:t xml:space="preserve"> земельных участков, по итогам которых заключено </w:t>
      </w:r>
      <w:r>
        <w:rPr>
          <w:rFonts w:cs="Times New Roman" w:ascii="Times New Roman" w:hAnsi="Times New Roman"/>
          <w:color w:val="000000"/>
          <w:sz w:val="27"/>
          <w:szCs w:val="27"/>
        </w:rPr>
        <w:t>10</w:t>
      </w:r>
      <w:r>
        <w:rPr>
          <w:rFonts w:cs="Times New Roman" w:ascii="Times New Roman" w:hAnsi="Times New Roman"/>
          <w:sz w:val="27"/>
          <w:szCs w:val="27"/>
        </w:rPr>
        <w:t xml:space="preserve"> договора аренды земельных участков  </w:t>
      </w:r>
      <w:r>
        <w:rPr>
          <w:rFonts w:cs="Times New Roman" w:ascii="Times New Roman" w:hAnsi="Times New Roman"/>
          <w:i/>
          <w:sz w:val="27"/>
          <w:szCs w:val="27"/>
        </w:rPr>
        <w:t xml:space="preserve">(с размером годовой арендной платы </w:t>
      </w:r>
      <w:r>
        <w:rPr>
          <w:rFonts w:cs="Times New Roman" w:ascii="Times New Roman" w:hAnsi="Times New Roman"/>
          <w:i/>
          <w:color w:val="000000"/>
          <w:sz w:val="27"/>
          <w:szCs w:val="27"/>
        </w:rPr>
        <w:t>2982616,78</w:t>
      </w:r>
      <w:r>
        <w:rPr>
          <w:rFonts w:cs="Times New Roman" w:ascii="Times New Roman" w:hAnsi="Times New Roman"/>
          <w:i/>
          <w:sz w:val="27"/>
          <w:szCs w:val="27"/>
        </w:rPr>
        <w:t xml:space="preserve"> рублей)</w:t>
      </w:r>
      <w:r>
        <w:rPr>
          <w:rFonts w:cs="Times New Roman" w:ascii="Times New Roman" w:hAnsi="Times New Roman"/>
          <w:sz w:val="27"/>
          <w:szCs w:val="27"/>
        </w:rPr>
        <w:t xml:space="preserve">. Кроме того, по итогам проведенных в 2023 году </w:t>
      </w:r>
      <w:r>
        <w:rPr>
          <w:rFonts w:cs="Times New Roman" w:ascii="Times New Roman" w:hAnsi="Times New Roman"/>
          <w:color w:val="000000"/>
          <w:sz w:val="27"/>
          <w:szCs w:val="27"/>
        </w:rPr>
        <w:t xml:space="preserve">3 </w:t>
      </w:r>
      <w:r>
        <w:rPr>
          <w:rFonts w:cs="Times New Roman" w:ascii="Times New Roman" w:hAnsi="Times New Roman"/>
          <w:sz w:val="27"/>
          <w:szCs w:val="27"/>
        </w:rPr>
        <w:t>аукционов  з</w:t>
      </w:r>
      <w:r>
        <w:rPr>
          <w:rFonts w:cs="Times New Roman" w:ascii="Times New Roman" w:hAnsi="Times New Roman"/>
          <w:color w:val="000000"/>
          <w:sz w:val="27"/>
          <w:szCs w:val="27"/>
        </w:rPr>
        <w:t xml:space="preserve">аключено 2 договора  купли-продажи земельных участков </w:t>
      </w:r>
      <w:r>
        <w:rPr>
          <w:rFonts w:cs="Times New Roman" w:ascii="Times New Roman" w:hAnsi="Times New Roman"/>
          <w:i/>
          <w:color w:val="000000"/>
          <w:sz w:val="27"/>
          <w:szCs w:val="27"/>
        </w:rPr>
        <w:t xml:space="preserve">(на сумму 770 966 </w:t>
      </w:r>
      <w:r>
        <w:rPr>
          <w:rFonts w:cs="Times New Roman" w:ascii="Times New Roman" w:hAnsi="Times New Roman"/>
          <w:i/>
          <w:sz w:val="27"/>
          <w:szCs w:val="27"/>
        </w:rPr>
        <w:t>рублей)</w:t>
      </w:r>
      <w:r>
        <w:rPr>
          <w:rFonts w:cs="Times New Roman" w:ascii="Times New Roman" w:hAnsi="Times New Roman"/>
          <w:sz w:val="27"/>
          <w:szCs w:val="27"/>
        </w:rPr>
        <w:t>.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/>
      </w:pPr>
      <w:r>
        <w:rPr>
          <w:rFonts w:cs="Times New Roman" w:ascii="Times New Roman" w:hAnsi="Times New Roman"/>
          <w:sz w:val="27"/>
          <w:szCs w:val="27"/>
        </w:rPr>
        <w:t xml:space="preserve">Строительство, ремонт (содержание) автомобильных дорог </w:t>
      </w:r>
      <w:r>
        <w:rPr>
          <w:rFonts w:cs="Times New Roman" w:ascii="Times New Roman" w:hAnsi="Times New Roman"/>
          <w:color w:val="000000"/>
          <w:sz w:val="27"/>
          <w:szCs w:val="27"/>
        </w:rPr>
        <w:t xml:space="preserve">Красносельского муниципального района </w:t>
      </w:r>
      <w:r>
        <w:rPr>
          <w:rFonts w:cs="Times New Roman" w:ascii="Times New Roman" w:hAnsi="Times New Roman"/>
          <w:sz w:val="27"/>
          <w:szCs w:val="27"/>
        </w:rPr>
        <w:t xml:space="preserve">осуществляется в рамках федерального финансирования (национальный проект «Безопасные качественные дороги», программа жилищного строительства субъектов Российской Федерации федерального проекта «Жилье»), а также за счет средств Дорожного фонда Костромской области и </w:t>
      </w:r>
      <w:r>
        <w:rPr>
          <w:rFonts w:cs="Times New Roman" w:ascii="Times New Roman" w:hAnsi="Times New Roman"/>
          <w:color w:val="000000"/>
          <w:sz w:val="27"/>
          <w:szCs w:val="27"/>
        </w:rPr>
        <w:t xml:space="preserve">администрации Красносельского муниципального района. 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2.3. В рамках </w:t>
      </w:r>
      <w:r>
        <w:rPr>
          <w:rFonts w:eastAsia="Times New Roman" w:cs="Times New Roman" w:ascii="Times New Roman" w:hAnsi="Times New Roman"/>
          <w:sz w:val="27"/>
          <w:szCs w:val="27"/>
        </w:rPr>
        <w:t>проведенного анализа эффективности использования земельных участков, определения возможности вовлечения их в оборот в целях жилищного строительства, муниципальным образованием сформирован перечень наиболее перспективных земельных участков, возможных к предоставлению различным категориям граждан, в том числе участникам специальной военной операции и их членам их семей.</w:t>
      </w:r>
    </w:p>
    <w:p>
      <w:pPr>
        <w:pStyle w:val="Normal"/>
        <w:bidi w:val="0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В Красносельском  муниципальном  Костромской области </w:t>
      </w:r>
      <w:r>
        <w:rPr>
          <w:rFonts w:cs="Times New Roman" w:ascii="Times New Roman" w:hAnsi="Times New Roman"/>
          <w:sz w:val="27"/>
          <w:szCs w:val="27"/>
        </w:rPr>
        <w:t xml:space="preserve">определены </w:t>
      </w:r>
      <w:r>
        <w:rPr>
          <w:rFonts w:cs="Times New Roman" w:ascii="Times New Roman" w:hAnsi="Times New Roman"/>
          <w:color w:val="000000"/>
          <w:sz w:val="27"/>
          <w:szCs w:val="27"/>
        </w:rPr>
        <w:t>276 территорий (земельных участков), один из которых включает в себя 160</w:t>
      </w:r>
      <w:r>
        <w:rPr>
          <w:rFonts w:cs="Times New Roman" w:ascii="Times New Roman" w:hAnsi="Times New Roman"/>
          <w:sz w:val="27"/>
          <w:szCs w:val="27"/>
        </w:rPr>
        <w:t xml:space="preserve"> земельных участков (п. Красное-на-Волге), в итоге -</w:t>
      </w:r>
      <w:r>
        <w:rPr>
          <w:rFonts w:cs="Times New Roman" w:ascii="Times New Roman" w:hAnsi="Times New Roman"/>
          <w:color w:val="000000"/>
          <w:sz w:val="27"/>
          <w:szCs w:val="27"/>
        </w:rPr>
        <w:t xml:space="preserve">435 </w:t>
      </w:r>
      <w:r>
        <w:rPr>
          <w:rFonts w:cs="Times New Roman" w:ascii="Times New Roman" w:hAnsi="Times New Roman"/>
          <w:sz w:val="27"/>
          <w:szCs w:val="27"/>
        </w:rPr>
        <w:t xml:space="preserve">, общая площадь которых составляет </w:t>
      </w:r>
      <w:r>
        <w:rPr>
          <w:rFonts w:cs="Times New Roman" w:ascii="Times New Roman" w:hAnsi="Times New Roman"/>
          <w:color w:val="000000"/>
          <w:sz w:val="27"/>
          <w:szCs w:val="27"/>
        </w:rPr>
        <w:t>418507</w:t>
      </w:r>
      <w:r>
        <w:rPr>
          <w:rFonts w:cs="Times New Roman" w:ascii="Times New Roman" w:hAnsi="Times New Roman"/>
          <w:sz w:val="27"/>
          <w:szCs w:val="27"/>
        </w:rPr>
        <w:t xml:space="preserve"> га. Градостроительный потенциал освоения этих территорий составит </w:t>
      </w:r>
      <w:r>
        <w:rPr>
          <w:rFonts w:cs="Times New Roman" w:ascii="Times New Roman" w:hAnsi="Times New Roman"/>
          <w:color w:val="000000"/>
          <w:sz w:val="27"/>
          <w:szCs w:val="27"/>
        </w:rPr>
        <w:t>43750</w:t>
      </w:r>
      <w:r>
        <w:rPr>
          <w:rFonts w:cs="Times New Roman" w:ascii="Times New Roman" w:hAnsi="Times New Roman"/>
          <w:color w:val="F10D0C"/>
          <w:sz w:val="27"/>
          <w:szCs w:val="27"/>
        </w:rPr>
        <w:t xml:space="preserve"> </w:t>
      </w:r>
      <w:r>
        <w:rPr>
          <w:rFonts w:cs="Times New Roman" w:ascii="Times New Roman" w:hAnsi="Times New Roman"/>
          <w:sz w:val="27"/>
          <w:szCs w:val="27"/>
        </w:rPr>
        <w:t>кв. метров жилья.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i/>
          <w:i/>
          <w:sz w:val="27"/>
          <w:szCs w:val="27"/>
        </w:rPr>
      </w:pPr>
      <w:r>
        <w:rPr>
          <w:rFonts w:eastAsia="Times New Roman" w:cs="Times New Roman" w:ascii="Times New Roman" w:hAnsi="Times New Roman"/>
          <w:i/>
          <w:sz w:val="27"/>
          <w:szCs w:val="27"/>
        </w:rPr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i/>
          <w:i/>
          <w:sz w:val="27"/>
          <w:szCs w:val="27"/>
        </w:rPr>
      </w:pPr>
      <w:r>
        <w:rPr>
          <w:rFonts w:eastAsia="Times New Roman" w:cs="Times New Roman" w:ascii="Times New Roman" w:hAnsi="Times New Roman"/>
          <w:i/>
          <w:sz w:val="27"/>
          <w:szCs w:val="27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Раздел III. ЦЕЛИ, ЗАДАЧИ И ОЖИДАЕМЫЕ РЕЗУЛЬТАТЫ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РЕАЛИЗАЦИИ МУНИЦИПАЛЬНОЙ ПРОГРАММЫ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 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3.1. Цель Муниципальной программы - </w:t>
      </w: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улучшение жилищных условий различных категорий граждан, в том числе участников специальной военной операции и членов их семей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3.2. Для достижения поставленной цели необходимо решение следующих основных задач: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3.2.1. предоставление земельных участков, обеспеченных объектами инфраструктуры, различным категориям граждан;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3.2.2. определение источников финансирования для создания объектов инфраструктуры;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3.2.3. выработка механизма обеспечения земельных участков объектами необходимой инфраструктуры.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3.3. Ожидаемые результаты реализации муниципальной программы: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 xml:space="preserve">3.3.1. Количество семей, улучшивших жилищные условия - 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435 </w:t>
      </w: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единиц;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 xml:space="preserve">3.3.2. Количество и площадь земельных участков, обеспеченных инфраструктурой, для жилищного строительства — 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435</w:t>
      </w: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 xml:space="preserve"> единиц, 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418507</w:t>
      </w: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 xml:space="preserve"> кв. метров;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 xml:space="preserve">3.3.3 Количество и площадь земельных участков, обеспеченных инфраструктурой, предоставленных различным категориям граждан для жилищного строительства - 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 435 единиц, 418507</w:t>
      </w:r>
      <w:r>
        <w:rPr>
          <w:rFonts w:eastAsia="Times New Roman" w:cs="Times New Roman" w:ascii="Times New Roman" w:hAnsi="Times New Roman"/>
          <w:color w:val="F10D0C"/>
          <w:sz w:val="27"/>
          <w:szCs w:val="27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 xml:space="preserve"> кв. метров;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 xml:space="preserve">3.3.4. Количество и площадь жилых домов, введенных в эксплуатацию, для различных категорий граждан — 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435 единиц, 43750 кв.</w:t>
      </w: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 xml:space="preserve"> метров.</w:t>
      </w:r>
    </w:p>
    <w:p>
      <w:pPr>
        <w:pStyle w:val="Normal"/>
        <w:bidi w:val="0"/>
        <w:spacing w:lineRule="auto" w:line="240" w:before="0" w:after="0"/>
        <w:ind w:left="0" w:right="0" w:firstLine="567"/>
        <w:jc w:val="both"/>
        <w:rPr>
          <w:rFonts w:ascii="Times New Roman" w:hAnsi="Times New Roman" w:eastAsia="Times New Roman" w:cs="Times New Roman"/>
          <w:color w:val="FF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FF0000"/>
          <w:sz w:val="27"/>
          <w:szCs w:val="27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Раздел IV. МЕРОПРИЯТИЯ МУНИЦИПАЛЬНОЙ ПРОГРАММЫ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 </w:t>
      </w:r>
    </w:p>
    <w:p>
      <w:pPr>
        <w:pStyle w:val="Normal"/>
        <w:bidi w:val="0"/>
        <w:spacing w:lineRule="auto" w:line="240" w:before="0" w:after="0"/>
        <w:ind w:left="0" w:right="0" w:firstLine="708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4.1. Реализация мероприятий Муниципальной программы осуществляется исполнителями в пределах их полномочий .</w:t>
      </w:r>
    </w:p>
    <w:p>
      <w:pPr>
        <w:pStyle w:val="Normal"/>
        <w:bidi w:val="0"/>
        <w:spacing w:lineRule="auto" w:line="240" w:before="0" w:after="0"/>
        <w:ind w:left="0" w:right="0" w:firstLine="708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Департаментом строительства, ЖКХ и ТЭК Костромской области совместно с департаментом имущественных и земельных отношений Костромской области, департаментом транспорта и дорожного хозяйства Костромской области при взаимодействии с исполнителями Муниципальной программы осуществляется координация мероприятий программы.</w:t>
      </w:r>
    </w:p>
    <w:p>
      <w:pPr>
        <w:pStyle w:val="Normal"/>
        <w:bidi w:val="0"/>
        <w:spacing w:lineRule="auto" w:line="240" w:before="0" w:after="0"/>
        <w:ind w:left="0" w:right="0" w:firstLine="708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4.2. Внесение изменений в Муниципальную программу осуществляет </w:t>
      </w: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Комитет строительства, ЖКХ и ООС администрации муниципального района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 в срок до 1 апреля и до 25 декабря текущего года на основании предложений исполнителей и соисполнителей Муниципальной программы.</w:t>
      </w:r>
    </w:p>
    <w:p>
      <w:pPr>
        <w:pStyle w:val="Normal"/>
        <w:bidi w:val="0"/>
        <w:spacing w:lineRule="auto" w:line="240" w:before="0" w:after="0"/>
        <w:ind w:left="0" w:right="0" w:firstLine="708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4.3. Мероприятия Муниципальной программы:</w:t>
      </w:r>
    </w:p>
    <w:p>
      <w:pPr>
        <w:pStyle w:val="Normal"/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4.3.1. Определение комитетом архитектуры, имущественных и земельных отношений территорий и/или земельных участков, возможных к предоставлению различным категориям граждан, в том числе участникам специальной военной операции и членам их семей, для целей жилищного строительства, с указанием характеристик участков и учетом затратности по обеспечению этих участков объектами социальной, транспортной и инженерной инфраструктурами.</w:t>
      </w:r>
    </w:p>
    <w:p>
      <w:pPr>
        <w:pStyle w:val="Normal"/>
        <w:numPr>
          <w:ilvl w:val="1"/>
          <w:numId w:val="5"/>
        </w:numPr>
        <w:bidi w:val="0"/>
        <w:spacing w:lineRule="atLeast" w:line="100"/>
        <w:jc w:val="both"/>
        <w:rPr/>
      </w:pPr>
      <w:r>
        <w:rPr>
          <w:rFonts w:cs="Times New Roman" w:ascii="Tinos" w:hAnsi="Tinos"/>
          <w:color w:val="000000"/>
          <w:sz w:val="28"/>
          <w:szCs w:val="28"/>
        </w:rPr>
        <w:t xml:space="preserve">В рамках </w:t>
      </w:r>
      <w:r>
        <w:rPr>
          <w:rFonts w:cs="Times New Roman" w:ascii="Tinos" w:hAnsi="Tinos"/>
          <w:sz w:val="28"/>
          <w:szCs w:val="28"/>
        </w:rPr>
        <w:t>проведенного анализа эффективности использования земельных участков, определения возможности вовлечения их в оборот в целях жилищного строительства, муниципальным образованием сформирован перечень наиболее перспективных земельных участков, возможных к предоставлению участникам специальной военной операции и членам их семей, а также семьям имеющим трех и более детей, молодым семьям.</w:t>
      </w:r>
    </w:p>
    <w:p>
      <w:pPr>
        <w:pStyle w:val="Normal"/>
        <w:numPr>
          <w:ilvl w:val="0"/>
          <w:numId w:val="5"/>
        </w:numPr>
        <w:bidi w:val="0"/>
        <w:spacing w:lineRule="atLeast" w:line="100"/>
        <w:jc w:val="both"/>
        <w:rPr>
          <w:rFonts w:ascii="Tinos" w:hAnsi="Tinos" w:cs="Times New Roman"/>
          <w:color w:val="000000"/>
          <w:sz w:val="28"/>
          <w:szCs w:val="28"/>
        </w:rPr>
      </w:pPr>
      <w:r>
        <w:rPr>
          <w:rFonts w:cs="Times New Roman" w:ascii="Tinos" w:hAnsi="Tinos"/>
          <w:color w:val="000000"/>
          <w:sz w:val="28"/>
          <w:szCs w:val="28"/>
        </w:rPr>
        <w:t xml:space="preserve"> </w:t>
      </w:r>
      <w:r>
        <w:rPr>
          <w:rFonts w:cs="Times New Roman" w:ascii="Tinos" w:hAnsi="Tinos"/>
          <w:color w:val="000000"/>
          <w:sz w:val="28"/>
          <w:szCs w:val="28"/>
        </w:rPr>
        <w:t>К</w:t>
      </w:r>
      <w:r>
        <w:rPr>
          <w:rFonts w:eastAsia="Times New Roman" w:cs="Times New Roman" w:ascii="Tinos" w:hAnsi="Tinos"/>
          <w:color w:val="000000"/>
          <w:sz w:val="28"/>
          <w:szCs w:val="28"/>
          <w:lang w:eastAsia="ru-RU"/>
        </w:rPr>
        <w:t xml:space="preserve">омитетом архитектуры, имущественных и земельных отношений администрации  Красносельского муниципального района </w:t>
      </w:r>
      <w:r>
        <w:rPr>
          <w:rFonts w:cs="Times New Roman" w:ascii="Tinos" w:hAnsi="Tinos"/>
          <w:color w:val="000000"/>
          <w:sz w:val="28"/>
          <w:szCs w:val="28"/>
        </w:rPr>
        <w:t xml:space="preserve">сформировано 435 территорий земельных участков, общая площадь которых составляет 418507 кв. метров. </w:t>
      </w:r>
    </w:p>
    <w:p>
      <w:pPr>
        <w:pStyle w:val="Normal"/>
        <w:numPr>
          <w:ilvl w:val="0"/>
          <w:numId w:val="5"/>
        </w:numPr>
        <w:bidi w:val="0"/>
        <w:spacing w:lineRule="atLeast" w:line="100"/>
        <w:jc w:val="both"/>
        <w:rPr>
          <w:rFonts w:eastAsia="TimesNewRoman;Arial Unicode MS" w:cs="Times New Roman"/>
          <w:bCs/>
          <w:color w:val="000000"/>
          <w:spacing w:val="-3"/>
          <w:sz w:val="28"/>
          <w:szCs w:val="28"/>
          <w:shd w:fill="FFFFFF" w:val="clear"/>
        </w:rPr>
      </w:pPr>
      <w:r>
        <w:rPr>
          <w:rFonts w:cs="Times New Roman"/>
          <w:sz w:val="28"/>
          <w:szCs w:val="28"/>
        </w:rPr>
        <w:tab/>
      </w:r>
      <w:r>
        <w:rPr>
          <w:rFonts w:cs="Times New Roman" w:ascii="Tinos" w:hAnsi="Tinos"/>
          <w:sz w:val="28"/>
          <w:szCs w:val="28"/>
        </w:rPr>
        <w:t>В</w:t>
      </w: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 xml:space="preserve"> соответствии с Законом Костромской области от 21.12.2022 № 298-7-ЗКО «О мере социальной поддержки отдельных категорий граждан в связи с проведением специальной военной операции» сформировано 420 земельных участков для участников специальной военной операции и членов их семей, в том числе:</w:t>
      </w:r>
    </w:p>
    <w:p>
      <w:pPr>
        <w:pStyle w:val="Normal"/>
        <w:numPr>
          <w:ilvl w:val="0"/>
          <w:numId w:val="5"/>
        </w:numPr>
        <w:bidi w:val="0"/>
        <w:spacing w:lineRule="atLeast" w:line="240"/>
        <w:jc w:val="both"/>
        <w:rPr/>
      </w:pPr>
      <w:r>
        <w:rPr>
          <w:rStyle w:val="11"/>
          <w:rFonts w:eastAsia="TimesNewRoman;Arial Unicode MS" w:cs="Times New Roman"/>
          <w:bCs/>
          <w:color w:val="000000"/>
          <w:spacing w:val="-3"/>
          <w:sz w:val="28"/>
          <w:szCs w:val="28"/>
          <w:shd w:fill="FFFFFF" w:val="clear"/>
        </w:rPr>
        <w:tab/>
      </w: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>- Городское поселение поселок Красное-на-Волге- 163 земельных участка.</w:t>
        <w:tab/>
      </w:r>
    </w:p>
    <w:p>
      <w:pPr>
        <w:pStyle w:val="Normal"/>
        <w:numPr>
          <w:ilvl w:val="0"/>
          <w:numId w:val="5"/>
        </w:numPr>
        <w:bidi w:val="0"/>
        <w:spacing w:lineRule="atLeast" w:line="240"/>
        <w:jc w:val="both"/>
        <w:rPr/>
      </w:pPr>
      <w:r>
        <w:rPr>
          <w:rStyle w:val="11"/>
          <w:rFonts w:eastAsia="Times New Roman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 xml:space="preserve"> </w:t>
      </w: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ab/>
        <w:t xml:space="preserve">- Шолоховское  сельское поселение — 173 земельных участка : д. Исаковское — 34; д. Зайцево — 37; д. Косевское- 97, д. Сопырево- 5; </w:t>
      </w:r>
    </w:p>
    <w:p>
      <w:pPr>
        <w:pStyle w:val="Normal"/>
        <w:numPr>
          <w:ilvl w:val="0"/>
          <w:numId w:val="5"/>
        </w:numPr>
        <w:bidi w:val="0"/>
        <w:spacing w:lineRule="atLeast" w:line="240"/>
        <w:jc w:val="both"/>
        <w:rPr/>
      </w:pP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ab/>
        <w:t xml:space="preserve">-  Боровиковское  сельское поселение — 30  земельных участков: </w:t>
      </w:r>
    </w:p>
    <w:p>
      <w:pPr>
        <w:pStyle w:val="Normal"/>
        <w:bidi w:val="0"/>
        <w:spacing w:lineRule="atLeast" w:line="240"/>
        <w:jc w:val="both"/>
        <w:rPr/>
      </w:pP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>д. Халипино- 25; д. Боровиково- 5;</w:t>
      </w:r>
    </w:p>
    <w:p>
      <w:pPr>
        <w:pStyle w:val="Normal"/>
        <w:numPr>
          <w:ilvl w:val="0"/>
          <w:numId w:val="5"/>
        </w:numPr>
        <w:bidi w:val="0"/>
        <w:spacing w:lineRule="atLeast" w:line="240"/>
        <w:jc w:val="both"/>
        <w:rPr/>
      </w:pP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ab/>
        <w:t xml:space="preserve">- Чапаевское  сельское поселение — 54 земельных участка в д. Ивановское. </w:t>
      </w:r>
    </w:p>
    <w:p>
      <w:pPr>
        <w:pStyle w:val="Normal"/>
        <w:numPr>
          <w:ilvl w:val="0"/>
          <w:numId w:val="5"/>
        </w:numPr>
        <w:bidi w:val="0"/>
        <w:spacing w:lineRule="atLeast" w:line="240"/>
        <w:jc w:val="both"/>
        <w:rPr/>
      </w:pPr>
      <w:r>
        <w:rPr>
          <w:rStyle w:val="11"/>
          <w:rFonts w:eastAsia="Times New Roman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 xml:space="preserve"> </w:t>
      </w: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ab/>
        <w:t xml:space="preserve">В соответствии с Законом Костромской области от 22.04.2015 № 668-5-ЗКО «О предоставлении земельных участков отдельным категориям граждан в собственность бесплатно» сформирован перечень земельных участков для предоставления в собственность бесплатно отдельным категориям граждан.           В данный перечень включено 15 земельных участков: </w:t>
      </w:r>
    </w:p>
    <w:p>
      <w:pPr>
        <w:pStyle w:val="Normal"/>
        <w:numPr>
          <w:ilvl w:val="0"/>
          <w:numId w:val="5"/>
        </w:numPr>
        <w:bidi w:val="0"/>
        <w:spacing w:lineRule="atLeast" w:line="240"/>
        <w:jc w:val="both"/>
        <w:rPr/>
      </w:pPr>
      <w:r>
        <w:rPr>
          <w:rStyle w:val="11"/>
          <w:rFonts w:eastAsia="Times New Roman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 xml:space="preserve"> </w:t>
      </w: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ab/>
        <w:t>- Городское поселение поселок Красное-на-Волге — 1 земельный участок;</w:t>
      </w:r>
    </w:p>
    <w:p>
      <w:pPr>
        <w:pStyle w:val="Normal"/>
        <w:numPr>
          <w:ilvl w:val="0"/>
          <w:numId w:val="5"/>
        </w:numPr>
        <w:bidi w:val="0"/>
        <w:spacing w:lineRule="atLeast" w:line="240"/>
        <w:jc w:val="both"/>
        <w:rPr/>
      </w:pPr>
      <w:r>
        <w:rPr>
          <w:rStyle w:val="11"/>
          <w:rFonts w:eastAsia="Times New Roman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 xml:space="preserve"> </w:t>
      </w: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ab/>
        <w:t xml:space="preserve">- Чапаевское сельское поселение —11  земельных участков:  </w:t>
      </w:r>
    </w:p>
    <w:p>
      <w:pPr>
        <w:pStyle w:val="Normal"/>
        <w:numPr>
          <w:ilvl w:val="0"/>
          <w:numId w:val="5"/>
        </w:numPr>
        <w:bidi w:val="0"/>
        <w:spacing w:lineRule="atLeast" w:line="240"/>
        <w:jc w:val="both"/>
        <w:rPr/>
      </w:pP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>д. Синцово- 9, д. Гущино-1; д. Ченцы-1;</w:t>
      </w:r>
    </w:p>
    <w:p>
      <w:pPr>
        <w:pStyle w:val="Normal"/>
        <w:numPr>
          <w:ilvl w:val="0"/>
          <w:numId w:val="5"/>
        </w:numPr>
        <w:bidi w:val="0"/>
        <w:spacing w:lineRule="atLeast" w:line="240"/>
        <w:jc w:val="both"/>
        <w:rPr/>
      </w:pP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 xml:space="preserve">          </w:t>
      </w: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 xml:space="preserve">- Прискоковское сельское поселение-  1 земельный участок в д. </w:t>
      </w:r>
    </w:p>
    <w:p>
      <w:pPr>
        <w:pStyle w:val="Normal"/>
        <w:numPr>
          <w:ilvl w:val="0"/>
          <w:numId w:val="5"/>
        </w:numPr>
        <w:bidi w:val="0"/>
        <w:spacing w:lineRule="atLeast" w:line="240"/>
        <w:jc w:val="both"/>
        <w:rPr/>
      </w:pP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>Прискоково;</w:t>
      </w:r>
    </w:p>
    <w:p>
      <w:pPr>
        <w:pStyle w:val="Normal"/>
        <w:numPr>
          <w:ilvl w:val="0"/>
          <w:numId w:val="5"/>
        </w:numPr>
        <w:bidi w:val="0"/>
        <w:spacing w:lineRule="atLeast" w:line="240"/>
        <w:jc w:val="both"/>
        <w:rPr/>
      </w:pP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 xml:space="preserve">          </w:t>
      </w:r>
      <w:r>
        <w:rPr>
          <w:rStyle w:val="11"/>
          <w:rFonts w:eastAsia="TimesNewRoman;Arial Unicode MS" w:cs="Times New Roman" w:ascii="Tinos" w:hAnsi="Tinos"/>
          <w:bCs/>
          <w:color w:val="000000"/>
          <w:spacing w:val="-3"/>
          <w:sz w:val="28"/>
          <w:szCs w:val="28"/>
          <w:shd w:fill="FFFFFF" w:val="clear"/>
        </w:rPr>
        <w:t>- Шолоховское сельское поселение — 2 земельных участка в д. Сопырево.</w:t>
      </w:r>
    </w:p>
    <w:p>
      <w:pPr>
        <w:pStyle w:val="Normal"/>
        <w:numPr>
          <w:ilvl w:val="0"/>
          <w:numId w:val="5"/>
        </w:numPr>
        <w:bidi w:val="0"/>
        <w:spacing w:lineRule="atLeast" w:line="100"/>
        <w:jc w:val="both"/>
        <w:rPr>
          <w:rFonts w:cs="Times New Roman"/>
          <w:color w:val="000000"/>
          <w:sz w:val="28"/>
          <w:szCs w:val="28"/>
        </w:rPr>
      </w:pPr>
      <w:r>
        <w:rPr>
          <w:rStyle w:val="11"/>
          <w:rFonts w:eastAsia="TimesNewRoman;Arial Unicode MS" w:cs="Times New Roman"/>
          <w:bCs/>
          <w:color w:val="000000"/>
          <w:spacing w:val="-3"/>
          <w:sz w:val="28"/>
          <w:szCs w:val="28"/>
          <w:shd w:fill="FFFFFF" w:val="clear"/>
        </w:rPr>
        <w:tab/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 w:ascii="Tinos" w:hAnsi="Tinos"/>
          <w:color w:val="000000"/>
          <w:sz w:val="28"/>
          <w:szCs w:val="28"/>
        </w:rPr>
        <w:t xml:space="preserve">Градостроительный потенциал освоения вышеперечисленных земельных участков составит около 43750 кв. метров жилья. </w:t>
      </w:r>
      <w:r>
        <w:rPr>
          <w:rFonts w:cs="Times New Roman" w:ascii="Tinos" w:hAnsi="Tinos"/>
          <w:color w:val="000000"/>
          <w:sz w:val="28"/>
          <w:szCs w:val="28"/>
          <w:shd w:fill="FFFFFF" w:val="clear"/>
        </w:rPr>
        <w:tab/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1571" w:leader="none"/>
          <w:tab w:val="left" w:pos="1713" w:leader="none"/>
          <w:tab w:val="left" w:pos="1996" w:leader="none"/>
        </w:tabs>
        <w:bidi w:val="0"/>
        <w:spacing w:lineRule="atLeast" w:line="100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 w:ascii="Tinos" w:hAnsi="Tinos"/>
          <w:color w:val="000000"/>
          <w:sz w:val="28"/>
          <w:szCs w:val="28"/>
        </w:rPr>
        <w:t>Перечень территорий (земельных участков) с подробным описанием представлен в Приложении № 1.</w:t>
      </w:r>
      <w:r>
        <w:rPr>
          <w:rFonts w:cs="Times New Roman"/>
          <w:sz w:val="28"/>
          <w:szCs w:val="28"/>
        </w:rPr>
        <w:tab/>
      </w:r>
    </w:p>
    <w:p>
      <w:pPr>
        <w:pStyle w:val="Normal"/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Calibri" w:cs="Times New Roman"/>
          <w:sz w:val="27"/>
          <w:szCs w:val="27"/>
        </w:rPr>
      </w:pPr>
      <w:r>
        <w:rPr>
          <w:rFonts w:eastAsia="Times New Roman" w:cs="Times New Roman" w:ascii="Times New Roman" w:hAnsi="Times New Roman"/>
          <w:sz w:val="27"/>
          <w:szCs w:val="27"/>
        </w:rPr>
        <w:t xml:space="preserve">Схемы расположения земельных участков представлены в Приложении №2а-2з </w:t>
      </w:r>
    </w:p>
    <w:p>
      <w:pPr>
        <w:pStyle w:val="Normal"/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4.3.2. Определение комитетом строительства, ЖКХ и ООС администрации муниципального района необходимого уровня инфраструктурных подключений с учетом уровня благоустройства муниципального образования Костромской области.</w:t>
      </w:r>
    </w:p>
    <w:p>
      <w:pPr>
        <w:pStyle w:val="Normal"/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tLeast" w:line="100"/>
        <w:jc w:val="both"/>
        <w:rPr>
          <w:rFonts w:ascii="Times New Roman" w:hAnsi="Times New Roman" w:eastAsia="Times New Roman" w:cs="Times New Roman"/>
          <w:b w:val="false"/>
          <w:bCs w:val="false"/>
          <w:i w:val="false"/>
          <w:i w:val="false"/>
          <w:iCs w:val="false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eastAsia="ru-RU"/>
        </w:rPr>
        <w:t>Расчет необходимого уровня инфраструктурных подключений представлен в приложении № 3 к муниципальной программе.</w:t>
      </w:r>
    </w:p>
    <w:p>
      <w:pPr>
        <w:pStyle w:val="Normal"/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Times New Roman" w:cs="Times New Roman"/>
          <w:i/>
          <w:i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По необходимости п</w:t>
      </w:r>
      <w:r>
        <w:rPr>
          <w:rFonts w:eastAsia="Calibri" w:cs="Times New Roman" w:ascii="Times New Roman" w:hAnsi="Times New Roman"/>
          <w:sz w:val="27"/>
          <w:szCs w:val="27"/>
        </w:rPr>
        <w:t>ровести синхронизацию инвестиционных программ организаций, осуществляющих горячее и холодное водоснабжение, водоотведение, теплоснабжение, газоснабжение, электроснабжение с программами и планами по строительству жилья (с документами территориального планирования и градостроительного зонирования) с целью заблаговременного доведения до ресурсоснабжающих организаций информации о строительстве жилья для своевременного планирования мероприятий по подключению объектов строительства к сетям инженерно-технического обеспечения.</w:t>
      </w:r>
    </w:p>
    <w:p>
      <w:pPr>
        <w:pStyle w:val="ListParagraph"/>
        <w:numPr>
          <w:ilvl w:val="2"/>
          <w:numId w:val="6"/>
        </w:numPr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uto" w:line="240" w:before="0" w:after="0"/>
        <w:ind w:left="0" w:right="0" w:firstLine="709"/>
        <w:contextualSpacing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Определение объемов и источников финансирования по каждому объекту инфраструктуры.</w:t>
      </w:r>
    </w:p>
    <w:p>
      <w:pPr>
        <w:pStyle w:val="ListParagraph"/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uto" w:line="240" w:before="0" w:after="0"/>
        <w:ind w:left="0" w:right="0" w:firstLine="709"/>
        <w:contextualSpacing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cs="Times New Roman" w:ascii="Times New Roman" w:hAnsi="Times New Roman"/>
          <w:sz w:val="27"/>
          <w:szCs w:val="27"/>
        </w:rPr>
        <w:t>Сведения по необходимому обеспечению земельных участков под жилищное строительство объектами инфраструктуры и необходимого количества финансирования представлены в Приложении № 3 .</w:t>
      </w:r>
    </w:p>
    <w:p>
      <w:pPr>
        <w:pStyle w:val="Normal"/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ListParagraph"/>
        <w:numPr>
          <w:ilvl w:val="2"/>
          <w:numId w:val="6"/>
        </w:numPr>
        <w:tabs>
          <w:tab w:val="clear" w:pos="709"/>
          <w:tab w:val="left" w:pos="851" w:leader="none"/>
          <w:tab w:val="left" w:pos="993" w:leader="none"/>
          <w:tab w:val="left" w:pos="1276" w:leader="none"/>
        </w:tabs>
        <w:bidi w:val="0"/>
        <w:spacing w:lineRule="auto" w:line="240" w:before="0" w:after="0"/>
        <w:ind w:left="0" w:right="0" w:firstLine="709"/>
        <w:contextualSpacing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Реализация мероприятий по обеспечению территорий (земельных участков) объектами инфраструктуры с учетом выбранного механизма и указанием источников финансирования:</w:t>
      </w:r>
    </w:p>
    <w:p>
      <w:pPr>
        <w:pStyle w:val="ListParagraph"/>
        <w:tabs>
          <w:tab w:val="clear" w:pos="709"/>
          <w:tab w:val="left" w:pos="993" w:leader="none"/>
          <w:tab w:val="left" w:pos="1135" w:leader="none"/>
        </w:tabs>
        <w:bidi w:val="0"/>
        <w:spacing w:lineRule="auto" w:line="240" w:before="0" w:after="0"/>
        <w:ind w:left="142" w:right="0"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1) средства регионального бюджета;</w:t>
      </w:r>
    </w:p>
    <w:p>
      <w:pPr>
        <w:pStyle w:val="ListParagraph"/>
        <w:tabs>
          <w:tab w:val="clear" w:pos="709"/>
          <w:tab w:val="left" w:pos="993" w:leader="none"/>
          <w:tab w:val="left" w:pos="1135" w:leader="none"/>
        </w:tabs>
        <w:bidi w:val="0"/>
        <w:spacing w:lineRule="auto" w:line="240" w:before="0" w:after="0"/>
        <w:ind w:left="142" w:right="0"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2) средства предприятий за счет инвестиционных и производственных программ;</w:t>
      </w:r>
    </w:p>
    <w:p>
      <w:pPr>
        <w:pStyle w:val="ListParagraph"/>
        <w:tabs>
          <w:tab w:val="clear" w:pos="709"/>
          <w:tab w:val="left" w:pos="993" w:leader="none"/>
          <w:tab w:val="left" w:pos="1135" w:leader="none"/>
        </w:tabs>
        <w:bidi w:val="0"/>
        <w:spacing w:lineRule="auto" w:line="240" w:before="0" w:after="0"/>
        <w:ind w:left="142" w:right="0"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3) средства собственников (плата за подключения, местные инициативы);</w:t>
      </w:r>
    </w:p>
    <w:p>
      <w:pPr>
        <w:pStyle w:val="ListParagraph"/>
        <w:tabs>
          <w:tab w:val="clear" w:pos="709"/>
          <w:tab w:val="left" w:pos="993" w:leader="none"/>
          <w:tab w:val="left" w:pos="1135" w:leader="none"/>
        </w:tabs>
        <w:bidi w:val="0"/>
        <w:spacing w:lineRule="auto" w:line="240" w:before="0" w:after="0"/>
        <w:ind w:left="142" w:right="0"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Раздел V. СОСТАВ И РЕСУРСНОЕ ОБЕСПЕЧЕНИЕ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МУНИЦИПАЛЬНОЙ ПРОГРАММЫ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tbl>
      <w:tblPr>
        <w:tblW w:w="9780" w:type="dxa"/>
        <w:jc w:val="left"/>
        <w:tblInd w:w="-3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58"/>
        <w:gridCol w:w="1862"/>
        <w:gridCol w:w="1575"/>
        <w:gridCol w:w="975"/>
        <w:gridCol w:w="900"/>
        <w:gridCol w:w="915"/>
        <w:gridCol w:w="1065"/>
        <w:gridCol w:w="975"/>
        <w:gridCol w:w="1155"/>
      </w:tblGrid>
      <w:tr>
        <w:trPr/>
        <w:tc>
          <w:tcPr>
            <w:tcW w:w="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п/п</w:t>
            </w:r>
          </w:p>
        </w:tc>
        <w:tc>
          <w:tcPr>
            <w:tcW w:w="18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Наименование программы, /Источник финансирования</w:t>
            </w:r>
          </w:p>
        </w:tc>
        <w:tc>
          <w:tcPr>
            <w:tcW w:w="15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Ответственный исполнитель, исполнитель, участник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nos" w:hAnsi="Tinos"/>
                <w:sz w:val="28"/>
                <w:szCs w:val="28"/>
              </w:rPr>
            </w:pPr>
            <w:r>
              <w:rPr>
                <w:rFonts w:eastAsia="Times New Roman" w:cs="Times New Roman" w:ascii="Tinos" w:hAnsi="Tinos"/>
                <w:sz w:val="28"/>
                <w:szCs w:val="28"/>
                <w:lang w:eastAsia="ru-RU"/>
              </w:rPr>
              <w:t>2024 год, тыс. руб.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nos" w:hAnsi="Tinos"/>
                <w:sz w:val="28"/>
                <w:szCs w:val="28"/>
              </w:rPr>
            </w:pPr>
            <w:r>
              <w:rPr>
                <w:rFonts w:ascii="Tinos" w:hAnsi="Tinos"/>
                <w:sz w:val="28"/>
                <w:szCs w:val="28"/>
              </w:rPr>
              <w:t>2025 год, тыс. руб.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nos" w:hAnsi="Tinos"/>
                <w:sz w:val="28"/>
                <w:szCs w:val="28"/>
              </w:rPr>
            </w:pPr>
            <w:r>
              <w:rPr>
                <w:rFonts w:ascii="Tinos" w:hAnsi="Tinos"/>
                <w:sz w:val="28"/>
                <w:szCs w:val="28"/>
              </w:rPr>
              <w:t>2026 год, тыс. руб.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nos" w:hAnsi="Tinos"/>
                <w:sz w:val="28"/>
                <w:szCs w:val="28"/>
              </w:rPr>
            </w:pPr>
            <w:r>
              <w:rPr>
                <w:rFonts w:ascii="Tinos" w:hAnsi="Tinos"/>
                <w:sz w:val="28"/>
                <w:szCs w:val="28"/>
              </w:rPr>
              <w:t>2027 год, тыс. руб.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nos" w:hAnsi="Tinos"/>
                <w:sz w:val="28"/>
                <w:szCs w:val="28"/>
              </w:rPr>
            </w:pPr>
            <w:r>
              <w:rPr>
                <w:rFonts w:eastAsia="Times New Roman" w:cs="Times New Roman" w:ascii="Tinos" w:hAnsi="Tinos"/>
                <w:sz w:val="28"/>
                <w:szCs w:val="28"/>
                <w:lang w:eastAsia="ru-RU"/>
              </w:rPr>
              <w:t>2028 год, тыс. руб.</w:t>
            </w:r>
          </w:p>
        </w:tc>
        <w:tc>
          <w:tcPr>
            <w:tcW w:w="115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За весь период реализации Муниципальной программы, тыс. руб.</w:t>
            </w:r>
          </w:p>
        </w:tc>
      </w:tr>
      <w:tr>
        <w:trPr/>
        <w:tc>
          <w:tcPr>
            <w:tcW w:w="358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186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Муниципальная программа по обеспечению инфраструктурой земельных участков для осуществления жилищного строительства на территории города Костромы</w:t>
            </w:r>
          </w:p>
        </w:tc>
        <w:tc>
          <w:tcPr>
            <w:tcW w:w="157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0" w:right="0" w:firstLine="540"/>
              <w:jc w:val="left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комитет строительства, ЖКХ и ООС администрации муниципального района</w:t>
            </w:r>
            <w:r>
              <w:rPr>
                <w:rFonts w:eastAsia="Times New Roman" w:cs="Times New Roman" w:ascii="Times New Roman" w:hAnsi="Times New Roman"/>
                <w:i/>
                <w:color w:val="000000"/>
                <w:sz w:val="27"/>
                <w:szCs w:val="27"/>
                <w:lang w:eastAsia="ru-RU"/>
              </w:rPr>
              <w:t xml:space="preserve">, </w:t>
            </w: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комитет архитектуры, имущественных и земельных отношений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_________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</w:r>
          </w:p>
        </w:tc>
        <w:tc>
          <w:tcPr>
            <w:tcW w:w="97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45036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90348</w:t>
            </w:r>
          </w:p>
        </w:tc>
        <w:tc>
          <w:tcPr>
            <w:tcW w:w="91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15482</w:t>
            </w:r>
          </w:p>
        </w:tc>
        <w:tc>
          <w:tcPr>
            <w:tcW w:w="106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2701</w:t>
            </w:r>
          </w:p>
        </w:tc>
        <w:tc>
          <w:tcPr>
            <w:tcW w:w="9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39077</w:t>
            </w:r>
          </w:p>
        </w:tc>
        <w:tc>
          <w:tcPr>
            <w:tcW w:w="115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192 644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/>
        <w:tc>
          <w:tcPr>
            <w:tcW w:w="358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bidi w:val="0"/>
              <w:spacing w:lineRule="auto" w:line="240"/>
              <w:jc w:val="center"/>
              <w:rPr/>
            </w:pPr>
            <w:r>
              <w:rPr/>
            </w:r>
          </w:p>
        </w:tc>
        <w:tc>
          <w:tcPr>
            <w:tcW w:w="186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- бюджет мо</w:t>
            </w:r>
          </w:p>
        </w:tc>
        <w:tc>
          <w:tcPr>
            <w:tcW w:w="1575" w:type="dxa"/>
            <w:vMerge w:val="continue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/>
              <w:jc w:val="center"/>
              <w:rPr/>
            </w:pPr>
            <w:r>
              <w:rPr/>
            </w:r>
          </w:p>
        </w:tc>
        <w:tc>
          <w:tcPr>
            <w:tcW w:w="97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3622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91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1065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97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115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</w:tr>
      <w:tr>
        <w:trPr/>
        <w:tc>
          <w:tcPr>
            <w:tcW w:w="358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bidi w:val="0"/>
              <w:spacing w:lineRule="auto" w:line="240"/>
              <w:jc w:val="center"/>
              <w:rPr/>
            </w:pPr>
            <w:r>
              <w:rPr/>
            </w:r>
          </w:p>
        </w:tc>
        <w:tc>
          <w:tcPr>
            <w:tcW w:w="186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- областной бюджет</w:t>
            </w:r>
          </w:p>
        </w:tc>
        <w:tc>
          <w:tcPr>
            <w:tcW w:w="1575" w:type="dxa"/>
            <w:vMerge w:val="continue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/>
              <w:jc w:val="center"/>
              <w:rPr/>
            </w:pPr>
            <w:r>
              <w:rPr/>
            </w:r>
          </w:p>
        </w:tc>
        <w:tc>
          <w:tcPr>
            <w:tcW w:w="975" w:type="dxa"/>
            <w:tcBorders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41414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90348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15482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2701</w:t>
            </w:r>
          </w:p>
        </w:tc>
        <w:tc>
          <w:tcPr>
            <w:tcW w:w="97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39077</w:t>
            </w:r>
          </w:p>
        </w:tc>
        <w:tc>
          <w:tcPr>
            <w:tcW w:w="115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7"/>
                <w:szCs w:val="27"/>
                <w:lang w:eastAsia="ru-RU"/>
              </w:rPr>
              <w:t>189022</w:t>
            </w:r>
          </w:p>
        </w:tc>
      </w:tr>
      <w:tr>
        <w:trPr/>
        <w:tc>
          <w:tcPr>
            <w:tcW w:w="358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bidi w:val="0"/>
              <w:spacing w:lineRule="auto" w:line="240"/>
              <w:jc w:val="center"/>
              <w:rPr/>
            </w:pPr>
            <w:r>
              <w:rPr/>
            </w:r>
          </w:p>
        </w:tc>
        <w:tc>
          <w:tcPr>
            <w:tcW w:w="186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- федеральный бюджет</w:t>
            </w:r>
          </w:p>
        </w:tc>
        <w:tc>
          <w:tcPr>
            <w:tcW w:w="1575" w:type="dxa"/>
            <w:vMerge w:val="continue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/>
              <w:jc w:val="center"/>
              <w:rPr/>
            </w:pPr>
            <w:r>
              <w:rPr/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</w:r>
          </w:p>
        </w:tc>
        <w:tc>
          <w:tcPr>
            <w:tcW w:w="97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115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-</w:t>
            </w:r>
          </w:p>
        </w:tc>
      </w:tr>
      <w:tr>
        <w:trPr/>
        <w:tc>
          <w:tcPr>
            <w:tcW w:w="358" w:type="dxa"/>
            <w:vMerge w:val="continue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bidi w:val="0"/>
              <w:spacing w:lineRule="auto" w:line="240"/>
              <w:jc w:val="center"/>
              <w:rPr/>
            </w:pPr>
            <w:r>
              <w:rPr/>
            </w:r>
          </w:p>
        </w:tc>
        <w:tc>
          <w:tcPr>
            <w:tcW w:w="1862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- внебюджетные источники</w:t>
            </w:r>
          </w:p>
        </w:tc>
        <w:tc>
          <w:tcPr>
            <w:tcW w:w="1575" w:type="dxa"/>
            <w:vMerge w:val="continue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bidi w:val="0"/>
              <w:spacing w:lineRule="auto" w:line="240"/>
              <w:jc w:val="center"/>
              <w:rPr/>
            </w:pPr>
            <w:r>
              <w:rPr/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</w:r>
          </w:p>
        </w:tc>
        <w:tc>
          <w:tcPr>
            <w:tcW w:w="97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7"/>
                <w:szCs w:val="27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7"/>
                <w:szCs w:val="27"/>
                <w:lang w:eastAsia="ru-RU"/>
              </w:rPr>
              <w:t>-</w:t>
            </w:r>
          </w:p>
        </w:tc>
      </w:tr>
    </w:tbl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bookmarkStart w:id="2" w:name="_GoBack"/>
      <w:bookmarkEnd w:id="2"/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Раздел VI. СИСТЕМА УПРАВЛЕНИЯ РЕАЛИЗАЦИЕЙ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МУНИЦИПАЛЬНОЙ ПРОГРАММЫ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 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i/>
          <w:i/>
          <w:color w:val="FF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 xml:space="preserve">6.1. Ответственным исполнителем реализации Муниципальной программы является 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комитет строительства, ЖКХ и ООС администрации муниципального района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i/>
          <w:i/>
          <w:color w:val="FF0000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 xml:space="preserve">6.2. Исполнителями программных мероприятий является 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>комитет архитектуры, имущественных и земельных отношений.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6.3. Ответственный исполнитель Муниципальной программы: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6.3.1. координирует деятельность исполнителей по реализации подпрограмм, отдельных мероприятий Муниципальной программы;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6.3.2. выполняет функции исполнителя Муниципальной программы в части, касающейся его полномочий;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 xml:space="preserve">6.3.3. предоставляет по запросу </w:t>
      </w:r>
      <w:r>
        <w:rPr>
          <w:rFonts w:eastAsia="Times New Roman" w:cs="Times New Roman" w:ascii="Times New Roman" w:hAnsi="Times New Roman"/>
          <w:color w:val="000000"/>
          <w:sz w:val="27"/>
          <w:szCs w:val="27"/>
          <w:lang w:eastAsia="ru-RU"/>
        </w:rPr>
        <w:t xml:space="preserve">комитетом экономики и предпринимательской деятельности </w:t>
      </w: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сведения, необходимые для проведения мониторинга реализации муниципальной программы, проверки отчетности реализации Муниципальной программы;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6.3.4. запрашивает у исполнителей Муниципальной программы информацию, необходимую для подготовки отчетов о реализации Муниципальной программы, проведения оценки эффективности реализации Муниципальной программы;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6.3.5. осуществляет оценку эффективности реализации Муниципальной программы, а также реализации подпрограмм, входящих в Муниципальную программу, путем определения степени достижения целевых показателей Муниципальной программы и полноты использования средств;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6.3.6. готовит в срок до 1 марта следующего года годовой отчет о реализации муниципальной программы и представляет его в установленном порядке.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6.4. Исполнители Муниципальной программы: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6.4.1. осуществляют реализацию мероприятий Муниципальной программы, отдельных в рамках своих полномочий;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6.4.2. разрабатывают и согласовывают проект изменений в Муниципальную программу;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6.4.3. формируют предложения по внесению изменений в Муниципальную программу, направляют их ответственному исполнителю;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6.4.4. представляют в срок до 15 февраля ответственному исполнителю необходимые сведения для подготовки информации о ходе реализации мероприятий Муниципальной программы.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6.5. При реализации муниципальной программы возможно возникновение следующих рисков, которые могут препятствовать достижению планируемых результатов: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6.5.1. риски, связанные с изменением законодательства;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6.5.2. финансовые риски: финансирование Муниципальной программы не в полном объеме в связи с неисполнением доходной части бюджета различного уровня;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В рамках муниципальной программы для предотвращения экономических и финансовых рисков необходимо проведение оперативного учета хода ее реализации.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В случае возникновения рисков программа подлежит корректировке - изменению состава и сроков исполнения программных мероприятий.</w:t>
      </w:r>
    </w:p>
    <w:p>
      <w:pPr>
        <w:pStyle w:val="Normal"/>
        <w:bidi w:val="0"/>
        <w:spacing w:lineRule="auto" w:line="240" w:before="0" w:after="0"/>
        <w:ind w:left="0" w:right="0" w:firstLine="540"/>
        <w:jc w:val="both"/>
        <w:rPr>
          <w:rFonts w:ascii="Times New Roman" w:hAnsi="Times New Roman" w:eastAsia="Times New Roman" w:cs="Times New Roman"/>
          <w:sz w:val="27"/>
          <w:szCs w:val="27"/>
          <w:lang w:eastAsia="ru-RU"/>
        </w:rPr>
      </w:pPr>
      <w:r>
        <w:rPr>
          <w:rFonts w:eastAsia="Times New Roman" w:cs="Times New Roman" w:ascii="Times New Roman" w:hAnsi="Times New Roman"/>
          <w:sz w:val="27"/>
          <w:szCs w:val="27"/>
          <w:lang w:eastAsia="ru-RU"/>
        </w:rPr>
        <w:t>6.6. Контроль за ходом реализации программы осуществляется посредством координации деятельности исполнителя по целевому и эффективному использованию финансовых средств, ведением и предоставлением отчетности путем ежегодного уточнения целевых показателей, а также затрат по мероприятиям и механизма реализации.</w:t>
      </w:r>
    </w:p>
    <w:p>
      <w:pPr>
        <w:pStyle w:val="Normal"/>
        <w:bidi w:val="0"/>
        <w:spacing w:before="0" w:after="160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567" w:gutter="0" w:header="567" w:top="1134" w:footer="567" w:bottom="1134"/>
      <w:pgNumType w:fmt="decimal"/>
      <w:formProt w:val="false"/>
      <w:titlePg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Mono">
    <w:altName w:val="Courier New"/>
    <w:charset w:val="01"/>
    <w:family w:val="modern"/>
    <w:pitch w:val="fixed"/>
  </w:font>
  <w:font w:name="Times New Roman">
    <w:charset w:val="01"/>
    <w:family w:val="roman"/>
    <w:pitch w:val="default"/>
  </w:font>
  <w:font w:name="Tinos">
    <w:charset w:val="01"/>
    <w:family w:val="roman"/>
    <w:pitch w:val="default"/>
  </w:font>
  <w:font w:name="PT Astra Serif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56"/>
      <w:bidi w:val="0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53"/>
      <w:bidi w:val="0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  <w:rPr/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  <w:rPr/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  <w:rPr/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  <w:rPr/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  <w:rPr/>
    </w:lvl>
  </w:abstractNum>
  <w:abstractNum w:abstractNumId="3"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>
        <w:sz w:val="28"/>
        <w:spacing w:val="-2"/>
        <w:i w:val="false"/>
        <w:b w:val="false"/>
        <w:shd w:fill="FFFFFF" w:val="clear"/>
        <w:szCs w:val="28"/>
        <w:iCs w:val="false"/>
        <w:bCs/>
        <w:rFonts w:eastAsia="Lucida Sans Unicode" w:cs="Symbol"/>
        <w:color w:val="000000"/>
        <w:lang w:val="ru-RU" w:eastAsia="ru-RU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>
        <w:sz w:val="28"/>
        <w:spacing w:val="1"/>
        <w:i/>
        <w:b w:val="false"/>
        <w:shd w:fill="FFFFFF" w:val="clear"/>
        <w:szCs w:val="28"/>
        <w:iCs w:val="false"/>
        <w:bCs w:val="false"/>
        <w:rFonts w:eastAsia="Lucida Sans Unicode" w:cs="Times New Roman"/>
        <w:color w:val="000000"/>
        <w:lang w:val="ru-RU" w:eastAsia="ru-RU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>
        <w:sz w:val="28"/>
        <w:spacing w:val="-6"/>
        <w:b/>
        <w:shd w:fill="FFFFFF" w:val="clear"/>
        <w:szCs w:val="28"/>
        <w:bCs/>
        <w:rFonts w:eastAsia="Times New Roman" w:cs="Times New Roman"/>
        <w:color w:val="000000"/>
        <w:lang w:eastAsia="ru-RU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>
        <w:sz w:val="28"/>
        <w:spacing w:val="1"/>
        <w:szCs w:val="28"/>
        <w:bCs/>
        <w:color w:val="000000"/>
      </w:r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>
        <w:sz w:val="28"/>
        <w:spacing w:val="1"/>
        <w:shd w:fill="FFFFFF" w:val="clear"/>
        <w:szCs w:val="28"/>
        <w:rFonts w:eastAsia="Lucida Sans Unicode"/>
        <w:color w:val="000000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>
        <w:sz w:val="28"/>
        <w:spacing w:val="1"/>
        <w:shd w:fill="FFFFFF" w:val="clear"/>
        <w:szCs w:val="28"/>
        <w:rFonts w:eastAsia="Lucida Sans Unicode"/>
        <w:color w:val="000000"/>
      </w:r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4"/>
      <w:numFmt w:val="decimal"/>
      <w:lvlText w:val="%1."/>
      <w:lvlJc w:val="left"/>
      <w:pPr>
        <w:tabs>
          <w:tab w:val="num" w:pos="0"/>
        </w:tabs>
        <w:ind w:left="630" w:hanging="630"/>
      </w:pPr>
      <w:rPr/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  <w:rPr/>
    </w:lvl>
    <w:lvl w:ilvl="2">
      <w:start w:val="3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  <w:spacing w:lineRule="auto" w:line="24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1">
    <w:name w:val="Heading 1"/>
    <w:basedOn w:val="Style30"/>
    <w:next w:val="Style38"/>
    <w:qFormat/>
    <w:pPr>
      <w:numPr>
        <w:ilvl w:val="0"/>
        <w:numId w:val="0"/>
      </w:numPr>
      <w:spacing w:before="0" w:after="0"/>
      <w:outlineLvl w:val="0"/>
    </w:pPr>
    <w:rPr/>
  </w:style>
  <w:style w:type="paragraph" w:styleId="2">
    <w:name w:val="Heading 2"/>
    <w:basedOn w:val="Style30"/>
    <w:next w:val="Style31"/>
    <w:qFormat/>
    <w:pPr>
      <w:numPr>
        <w:ilvl w:val="0"/>
        <w:numId w:val="0"/>
      </w:numPr>
      <w:spacing w:before="0" w:after="0"/>
      <w:outlineLvl w:val="1"/>
    </w:pPr>
    <w:rPr/>
  </w:style>
  <w:style w:type="paragraph" w:styleId="3">
    <w:name w:val="Heading 3"/>
    <w:basedOn w:val="Style30"/>
    <w:next w:val="Style31"/>
    <w:qFormat/>
    <w:pPr>
      <w:numPr>
        <w:ilvl w:val="0"/>
        <w:numId w:val="0"/>
      </w:numPr>
      <w:spacing w:before="0" w:after="0"/>
      <w:outlineLvl w:val="2"/>
    </w:pPr>
    <w:rPr/>
  </w:style>
  <w:style w:type="paragraph" w:styleId="4">
    <w:name w:val="Heading 4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paragraph" w:styleId="5">
    <w:name w:val="Heading 5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paragraph" w:styleId="6">
    <w:name w:val="Heading 6"/>
    <w:basedOn w:val="Style30"/>
    <w:next w:val="Style31"/>
    <w:qFormat/>
    <w:pPr>
      <w:numPr>
        <w:ilvl w:val="0"/>
        <w:numId w:val="0"/>
      </w:numPr>
    </w:pPr>
    <w:rPr/>
  </w:style>
  <w:style w:type="paragraph" w:styleId="7">
    <w:name w:val="Heading 7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paragraph" w:styleId="8">
    <w:name w:val="Heading 8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paragraph" w:styleId="9">
    <w:name w:val="Heading 9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character" w:styleId="Style5">
    <w:name w:val="Символ нумерации"/>
    <w:qFormat/>
    <w:rPr/>
  </w:style>
  <w:style w:type="character" w:styleId="Style6">
    <w:name w:val="Маркеры"/>
    <w:qFormat/>
    <w:rPr>
      <w:rFonts w:ascii="OpenSymbol" w:hAnsi="OpenSymbol" w:eastAsia="OpenSymbol" w:cs="OpenSymbol"/>
    </w:rPr>
  </w:style>
  <w:style w:type="character" w:styleId="Style7">
    <w:name w:val="Символ сноски"/>
    <w:qFormat/>
    <w:rPr/>
  </w:style>
  <w:style w:type="character" w:styleId="Style8">
    <w:name w:val="Footnote Reference"/>
    <w:rPr>
      <w:vertAlign w:val="superscript"/>
    </w:rPr>
  </w:style>
  <w:style w:type="character" w:styleId="Style9">
    <w:name w:val="Page Number"/>
    <w:rPr/>
  </w:style>
  <w:style w:type="character" w:styleId="Style10">
    <w:name w:val="Символы названия"/>
    <w:qFormat/>
    <w:rPr/>
  </w:style>
  <w:style w:type="character" w:styleId="Style11">
    <w:name w:val="Буквица"/>
    <w:qFormat/>
    <w:rPr/>
  </w:style>
  <w:style w:type="character" w:styleId="-">
    <w:name w:val="Hyperlink"/>
    <w:rPr>
      <w:color w:val="000080"/>
      <w:u w:val="single"/>
      <w:lang w:val="zxx" w:eastAsia="zxx" w:bidi="zxx"/>
    </w:rPr>
  </w:style>
  <w:style w:type="character" w:styleId="Style12">
    <w:name w:val="FollowedHyperlink"/>
    <w:rPr>
      <w:color w:val="800000"/>
      <w:u w:val="single"/>
      <w:lang w:val="zxx" w:eastAsia="zxx" w:bidi="zxx"/>
    </w:rPr>
  </w:style>
  <w:style w:type="character" w:styleId="Style13">
    <w:name w:val="Заполнитель"/>
    <w:qFormat/>
    <w:rPr>
      <w:smallCaps/>
      <w:color w:val="008080"/>
      <w:u w:val="dotted"/>
    </w:rPr>
  </w:style>
  <w:style w:type="character" w:styleId="Style14">
    <w:name w:val="Ссылка указателя"/>
    <w:qFormat/>
    <w:rPr/>
  </w:style>
  <w:style w:type="character" w:styleId="Style15">
    <w:name w:val="Символ концевой сноски"/>
    <w:qFormat/>
    <w:rPr/>
  </w:style>
  <w:style w:type="character" w:styleId="Style16">
    <w:name w:val="Line Number"/>
    <w:rPr/>
  </w:style>
  <w:style w:type="character" w:styleId="Style17">
    <w:name w:val="Основной элемент указателя"/>
    <w:qFormat/>
    <w:rPr>
      <w:b/>
      <w:bCs/>
    </w:rPr>
  </w:style>
  <w:style w:type="character" w:styleId="Style18">
    <w:name w:val="Endnote Reference"/>
    <w:rPr>
      <w:vertAlign w:val="superscript"/>
    </w:rPr>
  </w:style>
  <w:style w:type="character" w:styleId="Style19">
    <w:name w:val="Фуригана"/>
    <w:qFormat/>
    <w:rPr>
      <w:sz w:val="12"/>
      <w:szCs w:val="12"/>
      <w:u w:val="none"/>
      <w:em w:val="none"/>
    </w:rPr>
  </w:style>
  <w:style w:type="character" w:styleId="Style20">
    <w:name w:val="Вертикальное направление символов"/>
    <w:qFormat/>
    <w:rPr>
      <w:eastAsianLayout w:vert="true"/>
    </w:rPr>
  </w:style>
  <w:style w:type="character" w:styleId="Style21">
    <w:name w:val="Emphasis"/>
    <w:qFormat/>
    <w:rPr>
      <w:i/>
      <w:iCs/>
    </w:rPr>
  </w:style>
  <w:style w:type="character" w:styleId="Style22">
    <w:name w:val="Цитата"/>
    <w:qFormat/>
    <w:rPr>
      <w:i/>
      <w:iCs/>
    </w:rPr>
  </w:style>
  <w:style w:type="character" w:styleId="Style23">
    <w:name w:val="Strong"/>
    <w:qFormat/>
    <w:rPr>
      <w:b/>
      <w:bCs/>
    </w:rPr>
  </w:style>
  <w:style w:type="character" w:styleId="Style24">
    <w:name w:val="Исходный текст"/>
    <w:qFormat/>
    <w:rPr>
      <w:rFonts w:ascii="Liberation Mono" w:hAnsi="Liberation Mono" w:eastAsia="Liberation Mono" w:cs="Liberation Mono"/>
    </w:rPr>
  </w:style>
  <w:style w:type="character" w:styleId="Style25">
    <w:name w:val="Пример"/>
    <w:qFormat/>
    <w:rPr>
      <w:rFonts w:ascii="Liberation Mono" w:hAnsi="Liberation Mono" w:eastAsia="Liberation Mono" w:cs="Liberation Mono"/>
    </w:rPr>
  </w:style>
  <w:style w:type="character" w:styleId="Style26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7">
    <w:name w:val="Переменная"/>
    <w:qFormat/>
    <w:rPr>
      <w:i/>
      <w:iCs/>
    </w:rPr>
  </w:style>
  <w:style w:type="character" w:styleId="Style28">
    <w:name w:val="Определение"/>
    <w:qFormat/>
    <w:rPr/>
  </w:style>
  <w:style w:type="character" w:styleId="Style29">
    <w:name w:val="Непропорциональный текст"/>
    <w:qFormat/>
    <w:rPr>
      <w:rFonts w:ascii="Liberation Mono" w:hAnsi="Liberation Mono" w:eastAsia="Liberation Mono" w:cs="Liberation Mono"/>
    </w:rPr>
  </w:style>
  <w:style w:type="character" w:styleId="11">
    <w:name w:val="Основной шрифт абзаца1"/>
    <w:qFormat/>
    <w:rPr/>
  </w:style>
  <w:style w:type="paragraph" w:styleId="Style30">
    <w:name w:val="Заголовок"/>
    <w:basedOn w:val="Normal"/>
    <w:next w:val="Style38"/>
    <w:qFormat/>
    <w:pPr>
      <w:keepNext w:val="false"/>
      <w:spacing w:before="0" w:after="0"/>
      <w:jc w:val="center"/>
    </w:pPr>
    <w:rPr>
      <w:b/>
    </w:rPr>
  </w:style>
  <w:style w:type="paragraph" w:styleId="Style31">
    <w:name w:val="Body Text"/>
    <w:basedOn w:val="Normal"/>
    <w:pPr>
      <w:jc w:val="both"/>
    </w:pPr>
    <w:rPr/>
  </w:style>
  <w:style w:type="paragraph" w:styleId="Style32">
    <w:name w:val="List"/>
    <w:basedOn w:val="Style31"/>
    <w:pPr/>
    <w:rPr>
      <w:rFonts w:cs="Lohit Devanagari"/>
    </w:rPr>
  </w:style>
  <w:style w:type="paragraph" w:styleId="Style33">
    <w:name w:val="Caption"/>
    <w:basedOn w:val="Normal"/>
    <w:qFormat/>
    <w:pPr>
      <w:spacing w:before="0" w:after="0"/>
    </w:pPr>
    <w:rPr>
      <w:rFonts w:cs="Lohit Devanagari"/>
      <w:i w:val="false"/>
      <w:iCs w:val="false"/>
      <w:sz w:val="28"/>
      <w:szCs w:val="24"/>
    </w:rPr>
  </w:style>
  <w:style w:type="paragraph" w:styleId="Style34">
    <w:name w:val="Указатель"/>
    <w:basedOn w:val="Normal"/>
    <w:qFormat/>
    <w:pPr>
      <w:jc w:val="left"/>
    </w:pPr>
    <w:rPr>
      <w:rFonts w:cs="Lohit Devanagari"/>
    </w:rPr>
  </w:style>
  <w:style w:type="paragraph" w:styleId="Style35">
    <w:name w:val="Блочная цитата"/>
    <w:basedOn w:val="Normal"/>
    <w:qFormat/>
    <w:pPr>
      <w:spacing w:before="0" w:after="0"/>
      <w:ind w:left="0" w:right="0" w:hanging="0"/>
    </w:pPr>
    <w:rPr/>
  </w:style>
  <w:style w:type="paragraph" w:styleId="Style36">
    <w:name w:val="Title"/>
    <w:basedOn w:val="Normal"/>
    <w:next w:val="Style38"/>
    <w:qFormat/>
    <w:pPr>
      <w:spacing w:before="0" w:after="170"/>
    </w:pPr>
    <w:rPr>
      <w:b/>
    </w:rPr>
  </w:style>
  <w:style w:type="paragraph" w:styleId="Style37">
    <w:name w:val="Subtitle"/>
    <w:basedOn w:val="Normal"/>
    <w:next w:val="Style38"/>
    <w:qFormat/>
    <w:pPr>
      <w:spacing w:before="0" w:after="0"/>
      <w:ind w:left="709" w:right="0" w:hanging="0"/>
      <w:jc w:val="both"/>
    </w:pPr>
    <w:rPr>
      <w:b/>
    </w:rPr>
  </w:style>
  <w:style w:type="paragraph" w:styleId="Style38">
    <w:name w:val="Body Text First Indent"/>
    <w:basedOn w:val="Normal"/>
    <w:pPr>
      <w:ind w:left="0" w:right="0" w:firstLine="709"/>
      <w:jc w:val="both"/>
    </w:pPr>
    <w:rPr/>
  </w:style>
  <w:style w:type="paragraph" w:styleId="Style39">
    <w:name w:val="Обратный отступ"/>
    <w:basedOn w:val="Style31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40">
    <w:name w:val="Body Text Indent"/>
    <w:basedOn w:val="Style31"/>
    <w:pPr>
      <w:ind w:left="0" w:right="0" w:hanging="0"/>
    </w:pPr>
    <w:rPr/>
  </w:style>
  <w:style w:type="paragraph" w:styleId="Style41">
    <w:name w:val="Salutation"/>
    <w:basedOn w:val="Normal"/>
    <w:pPr/>
    <w:rPr/>
  </w:style>
  <w:style w:type="paragraph" w:styleId="Style42">
    <w:name w:val="Signature"/>
    <w:basedOn w:val="Normal"/>
    <w:pPr>
      <w:tabs>
        <w:tab w:val="clear" w:pos="709"/>
        <w:tab w:val="right" w:pos="31748" w:leader="none"/>
      </w:tabs>
      <w:ind w:left="0" w:right="0" w:hanging="0"/>
      <w:jc w:val="left"/>
    </w:pPr>
    <w:rPr/>
  </w:style>
  <w:style w:type="paragraph" w:styleId="Style43">
    <w:name w:val="Отступы"/>
    <w:basedOn w:val="Style31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44">
    <w:name w:val="Annotation Text"/>
    <w:basedOn w:val="Style31"/>
    <w:pPr>
      <w:ind w:left="0" w:right="0" w:hanging="0"/>
    </w:pPr>
    <w:rPr/>
  </w:style>
  <w:style w:type="paragraph" w:styleId="10">
    <w:name w:val="Заголовок 10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paragraph" w:styleId="12">
    <w:name w:val="Начало нумерованного списка 1"/>
    <w:basedOn w:val="Style32"/>
    <w:next w:val="13"/>
    <w:qFormat/>
    <w:pPr>
      <w:spacing w:before="0" w:after="0"/>
      <w:ind w:left="0" w:right="0" w:hanging="0"/>
    </w:pPr>
    <w:rPr/>
  </w:style>
  <w:style w:type="paragraph" w:styleId="13">
    <w:name w:val="List 3"/>
    <w:basedOn w:val="Style32"/>
    <w:pPr>
      <w:numPr>
        <w:ilvl w:val="0"/>
        <w:numId w:val="2"/>
      </w:numPr>
      <w:spacing w:before="0" w:after="0"/>
    </w:pPr>
    <w:rPr/>
  </w:style>
  <w:style w:type="paragraph" w:styleId="14">
    <w:name w:val="Конец нумерованного списка 1"/>
    <w:basedOn w:val="Style32"/>
    <w:next w:val="13"/>
    <w:qFormat/>
    <w:pPr>
      <w:spacing w:before="0" w:after="0"/>
      <w:ind w:left="0" w:right="0" w:hanging="0"/>
    </w:pPr>
    <w:rPr/>
  </w:style>
  <w:style w:type="paragraph" w:styleId="15">
    <w:name w:val="Продолжение нумерованного списка 1"/>
    <w:basedOn w:val="Style32"/>
    <w:qFormat/>
    <w:pPr>
      <w:spacing w:before="0" w:after="0"/>
      <w:ind w:left="0" w:right="0" w:hanging="0"/>
    </w:pPr>
    <w:rPr/>
  </w:style>
  <w:style w:type="paragraph" w:styleId="21">
    <w:name w:val="Начало нумерованного списка 2"/>
    <w:basedOn w:val="Style32"/>
    <w:next w:val="22"/>
    <w:qFormat/>
    <w:pPr>
      <w:spacing w:before="0" w:after="0"/>
      <w:ind w:left="0" w:right="0" w:hanging="0"/>
    </w:pPr>
    <w:rPr/>
  </w:style>
  <w:style w:type="paragraph" w:styleId="22">
    <w:name w:val="List Number 2"/>
    <w:basedOn w:val="Style32"/>
    <w:pPr>
      <w:spacing w:before="0" w:after="0"/>
      <w:ind w:left="0" w:right="0" w:hanging="0"/>
    </w:pPr>
    <w:rPr/>
  </w:style>
  <w:style w:type="paragraph" w:styleId="23">
    <w:name w:val="Конец нумерованного списка 2"/>
    <w:basedOn w:val="Style32"/>
    <w:next w:val="22"/>
    <w:qFormat/>
    <w:pPr>
      <w:spacing w:before="0" w:after="0"/>
      <w:ind w:left="0" w:right="0" w:hanging="0"/>
    </w:pPr>
    <w:rPr/>
  </w:style>
  <w:style w:type="paragraph" w:styleId="24">
    <w:name w:val="Продолжение нумерованного списка 2"/>
    <w:basedOn w:val="Style32"/>
    <w:qFormat/>
    <w:pPr>
      <w:spacing w:before="0" w:after="0"/>
      <w:ind w:left="0" w:right="0" w:hanging="0"/>
    </w:pPr>
    <w:rPr/>
  </w:style>
  <w:style w:type="paragraph" w:styleId="31">
    <w:name w:val="Начало нумерованного списка 3"/>
    <w:basedOn w:val="Style32"/>
    <w:next w:val="32"/>
    <w:qFormat/>
    <w:pPr>
      <w:spacing w:before="0" w:after="0"/>
      <w:ind w:left="0" w:right="0" w:hanging="0"/>
    </w:pPr>
    <w:rPr/>
  </w:style>
  <w:style w:type="paragraph" w:styleId="32">
    <w:name w:val="List Number 3"/>
    <w:basedOn w:val="Style32"/>
    <w:pPr>
      <w:spacing w:before="0" w:after="0"/>
      <w:ind w:left="0" w:right="0" w:hanging="0"/>
    </w:pPr>
    <w:rPr/>
  </w:style>
  <w:style w:type="paragraph" w:styleId="33">
    <w:name w:val="Конец нумерованного списка 3"/>
    <w:basedOn w:val="Style32"/>
    <w:next w:val="32"/>
    <w:qFormat/>
    <w:pPr>
      <w:spacing w:before="0" w:after="0"/>
      <w:ind w:left="0" w:right="0" w:hanging="0"/>
    </w:pPr>
    <w:rPr/>
  </w:style>
  <w:style w:type="paragraph" w:styleId="34">
    <w:name w:val="Продолжение нумерованного списка 3"/>
    <w:basedOn w:val="Style32"/>
    <w:qFormat/>
    <w:pPr>
      <w:spacing w:before="0" w:after="0"/>
      <w:ind w:left="0" w:right="0" w:hanging="0"/>
    </w:pPr>
    <w:rPr/>
  </w:style>
  <w:style w:type="paragraph" w:styleId="41">
    <w:name w:val="Начало нумерованного списка 4"/>
    <w:basedOn w:val="Style32"/>
    <w:next w:val="42"/>
    <w:qFormat/>
    <w:pPr>
      <w:spacing w:before="0" w:after="0"/>
      <w:ind w:left="0" w:right="0" w:hanging="0"/>
    </w:pPr>
    <w:rPr/>
  </w:style>
  <w:style w:type="paragraph" w:styleId="42">
    <w:name w:val="List Number 4"/>
    <w:basedOn w:val="Style32"/>
    <w:pPr>
      <w:spacing w:before="0" w:after="0"/>
      <w:ind w:left="0" w:right="0" w:hanging="0"/>
    </w:pPr>
    <w:rPr/>
  </w:style>
  <w:style w:type="paragraph" w:styleId="43">
    <w:name w:val="Конец нумерованного списка 4"/>
    <w:basedOn w:val="Style32"/>
    <w:next w:val="42"/>
    <w:qFormat/>
    <w:pPr>
      <w:spacing w:before="0" w:after="0"/>
      <w:ind w:left="0" w:right="0" w:hanging="0"/>
    </w:pPr>
    <w:rPr/>
  </w:style>
  <w:style w:type="paragraph" w:styleId="44">
    <w:name w:val="Продолжение нумерованного списка 4"/>
    <w:basedOn w:val="Style32"/>
    <w:qFormat/>
    <w:pPr>
      <w:spacing w:before="0" w:after="0"/>
      <w:ind w:left="0" w:right="0" w:hanging="0"/>
    </w:pPr>
    <w:rPr/>
  </w:style>
  <w:style w:type="paragraph" w:styleId="51">
    <w:name w:val="Начало нумерованного списка 5"/>
    <w:basedOn w:val="Style32"/>
    <w:next w:val="52"/>
    <w:qFormat/>
    <w:pPr>
      <w:spacing w:before="0" w:after="0"/>
      <w:ind w:left="0" w:right="0" w:hanging="0"/>
    </w:pPr>
    <w:rPr/>
  </w:style>
  <w:style w:type="paragraph" w:styleId="52">
    <w:name w:val="List Number 5"/>
    <w:basedOn w:val="Style32"/>
    <w:pPr>
      <w:spacing w:before="0" w:after="0"/>
      <w:ind w:left="0" w:right="0" w:hanging="0"/>
    </w:pPr>
    <w:rPr/>
  </w:style>
  <w:style w:type="paragraph" w:styleId="53">
    <w:name w:val="Конец нумерованного списка 5"/>
    <w:basedOn w:val="Style32"/>
    <w:next w:val="52"/>
    <w:qFormat/>
    <w:pPr>
      <w:spacing w:before="0" w:after="0"/>
      <w:ind w:left="0" w:right="0" w:hanging="0"/>
    </w:pPr>
    <w:rPr/>
  </w:style>
  <w:style w:type="paragraph" w:styleId="54">
    <w:name w:val="Продолжение нумерованного списка 5"/>
    <w:basedOn w:val="Style32"/>
    <w:qFormat/>
    <w:pPr>
      <w:spacing w:before="0" w:after="0"/>
      <w:ind w:left="0" w:right="0" w:hanging="0"/>
    </w:pPr>
    <w:rPr/>
  </w:style>
  <w:style w:type="paragraph" w:styleId="16">
    <w:name w:val="Список 1 начало"/>
    <w:basedOn w:val="Style32"/>
    <w:next w:val="17"/>
    <w:qFormat/>
    <w:pPr>
      <w:spacing w:before="0" w:after="0"/>
      <w:ind w:left="0" w:right="0" w:hanging="0"/>
    </w:pPr>
    <w:rPr/>
  </w:style>
  <w:style w:type="paragraph" w:styleId="17">
    <w:name w:val="List 2"/>
    <w:basedOn w:val="Style32"/>
    <w:pPr>
      <w:numPr>
        <w:ilvl w:val="0"/>
        <w:numId w:val="3"/>
      </w:numPr>
      <w:spacing w:before="0" w:after="0"/>
    </w:pPr>
    <w:rPr/>
  </w:style>
  <w:style w:type="paragraph" w:styleId="18">
    <w:name w:val="Список 1 конец"/>
    <w:basedOn w:val="Style32"/>
    <w:next w:val="17"/>
    <w:qFormat/>
    <w:pPr>
      <w:spacing w:before="0" w:after="0"/>
      <w:ind w:left="0" w:right="0" w:hanging="0"/>
    </w:pPr>
    <w:rPr/>
  </w:style>
  <w:style w:type="paragraph" w:styleId="19">
    <w:name w:val="List Continue"/>
    <w:basedOn w:val="Style32"/>
    <w:pPr>
      <w:spacing w:before="0" w:after="0"/>
      <w:ind w:left="0" w:right="0" w:hanging="0"/>
    </w:pPr>
    <w:rPr/>
  </w:style>
  <w:style w:type="paragraph" w:styleId="25">
    <w:name w:val="Список 2 начало"/>
    <w:basedOn w:val="Style32"/>
    <w:next w:val="26"/>
    <w:qFormat/>
    <w:pPr>
      <w:spacing w:before="0" w:after="0"/>
      <w:ind w:left="0" w:right="0" w:hanging="0"/>
    </w:pPr>
    <w:rPr/>
  </w:style>
  <w:style w:type="paragraph" w:styleId="26">
    <w:name w:val="List Bullet 3"/>
    <w:basedOn w:val="Style32"/>
    <w:pPr>
      <w:spacing w:before="0" w:after="0"/>
      <w:ind w:left="0" w:right="0" w:hanging="0"/>
    </w:pPr>
    <w:rPr/>
  </w:style>
  <w:style w:type="paragraph" w:styleId="27">
    <w:name w:val="Список 2 конец"/>
    <w:basedOn w:val="Style32"/>
    <w:next w:val="26"/>
    <w:qFormat/>
    <w:pPr>
      <w:spacing w:before="0" w:after="0"/>
      <w:ind w:left="0" w:right="0" w:hanging="0"/>
    </w:pPr>
    <w:rPr/>
  </w:style>
  <w:style w:type="paragraph" w:styleId="28">
    <w:name w:val="List Continue 2"/>
    <w:basedOn w:val="Style32"/>
    <w:pPr>
      <w:spacing w:before="0" w:after="0"/>
      <w:ind w:left="0" w:right="0" w:hanging="0"/>
    </w:pPr>
    <w:rPr/>
  </w:style>
  <w:style w:type="paragraph" w:styleId="35">
    <w:name w:val="Список 3 начало"/>
    <w:basedOn w:val="Style32"/>
    <w:next w:val="36"/>
    <w:qFormat/>
    <w:pPr>
      <w:spacing w:before="0" w:after="0"/>
      <w:ind w:left="0" w:right="0" w:hanging="0"/>
    </w:pPr>
    <w:rPr/>
  </w:style>
  <w:style w:type="paragraph" w:styleId="36">
    <w:name w:val="List Bullet 4"/>
    <w:basedOn w:val="Style32"/>
    <w:pPr>
      <w:spacing w:before="0" w:after="0"/>
      <w:ind w:left="0" w:right="0" w:hanging="0"/>
    </w:pPr>
    <w:rPr/>
  </w:style>
  <w:style w:type="paragraph" w:styleId="37">
    <w:name w:val="Список 3 конец"/>
    <w:basedOn w:val="Style32"/>
    <w:next w:val="36"/>
    <w:qFormat/>
    <w:pPr>
      <w:spacing w:before="0" w:after="0"/>
      <w:ind w:left="0" w:right="0" w:hanging="0"/>
    </w:pPr>
    <w:rPr/>
  </w:style>
  <w:style w:type="paragraph" w:styleId="38">
    <w:name w:val="List Continue 3"/>
    <w:basedOn w:val="Style32"/>
    <w:pPr>
      <w:spacing w:before="0" w:after="0"/>
      <w:ind w:left="0" w:right="0" w:hanging="0"/>
    </w:pPr>
    <w:rPr/>
  </w:style>
  <w:style w:type="paragraph" w:styleId="45">
    <w:name w:val="Список 4 начало"/>
    <w:basedOn w:val="Style32"/>
    <w:next w:val="46"/>
    <w:qFormat/>
    <w:pPr>
      <w:spacing w:before="0" w:after="0"/>
      <w:ind w:left="0" w:right="0" w:hanging="0"/>
    </w:pPr>
    <w:rPr/>
  </w:style>
  <w:style w:type="paragraph" w:styleId="46">
    <w:name w:val="List Bullet 5"/>
    <w:basedOn w:val="Style32"/>
    <w:pPr>
      <w:spacing w:before="0" w:after="0"/>
      <w:ind w:left="0" w:right="0" w:hanging="0"/>
    </w:pPr>
    <w:rPr/>
  </w:style>
  <w:style w:type="paragraph" w:styleId="47">
    <w:name w:val="Список 4 конец"/>
    <w:basedOn w:val="Style32"/>
    <w:next w:val="46"/>
    <w:qFormat/>
    <w:pPr>
      <w:spacing w:before="0" w:after="0"/>
      <w:ind w:left="0" w:right="0" w:hanging="0"/>
    </w:pPr>
    <w:rPr/>
  </w:style>
  <w:style w:type="paragraph" w:styleId="48">
    <w:name w:val="List Continue 4"/>
    <w:basedOn w:val="Style32"/>
    <w:pPr>
      <w:spacing w:before="0" w:after="0"/>
      <w:ind w:left="0" w:right="0" w:hanging="0"/>
    </w:pPr>
    <w:rPr/>
  </w:style>
  <w:style w:type="paragraph" w:styleId="55">
    <w:name w:val="Список 5 начало"/>
    <w:basedOn w:val="Style32"/>
    <w:next w:val="56"/>
    <w:qFormat/>
    <w:pPr>
      <w:spacing w:before="0" w:after="0"/>
      <w:ind w:left="0" w:right="0" w:hanging="0"/>
    </w:pPr>
    <w:rPr/>
  </w:style>
  <w:style w:type="paragraph" w:styleId="56">
    <w:name w:val="List Number"/>
    <w:basedOn w:val="Style32"/>
    <w:pPr>
      <w:spacing w:before="0" w:after="0"/>
      <w:ind w:left="0" w:right="0" w:hanging="0"/>
    </w:pPr>
    <w:rPr/>
  </w:style>
  <w:style w:type="paragraph" w:styleId="57">
    <w:name w:val="Список 5 конец"/>
    <w:basedOn w:val="Style32"/>
    <w:next w:val="56"/>
    <w:qFormat/>
    <w:pPr>
      <w:spacing w:before="0" w:after="0"/>
      <w:ind w:left="0" w:right="0" w:hanging="0"/>
    </w:pPr>
    <w:rPr/>
  </w:style>
  <w:style w:type="paragraph" w:styleId="58">
    <w:name w:val="List Continue 5"/>
    <w:basedOn w:val="Style32"/>
    <w:pPr>
      <w:spacing w:before="0" w:after="0"/>
      <w:ind w:left="0" w:right="0" w:hanging="0"/>
    </w:pPr>
    <w:rPr/>
  </w:style>
  <w:style w:type="paragraph" w:styleId="Style45">
    <w:name w:val="Index Heading"/>
    <w:basedOn w:val="Style30"/>
    <w:pPr>
      <w:ind w:left="0" w:right="0" w:hanging="0"/>
    </w:pPr>
    <w:rPr/>
  </w:style>
  <w:style w:type="paragraph" w:styleId="110">
    <w:name w:val="Index 1"/>
    <w:basedOn w:val="Style34"/>
    <w:pPr>
      <w:ind w:left="0" w:right="0" w:hanging="0"/>
    </w:pPr>
    <w:rPr/>
  </w:style>
  <w:style w:type="paragraph" w:styleId="29">
    <w:name w:val="Index 2"/>
    <w:basedOn w:val="Style34"/>
    <w:pPr>
      <w:ind w:left="0" w:right="0" w:hanging="0"/>
    </w:pPr>
    <w:rPr/>
  </w:style>
  <w:style w:type="paragraph" w:styleId="39">
    <w:name w:val="Index 3"/>
    <w:basedOn w:val="Style34"/>
    <w:pPr>
      <w:ind w:left="0" w:right="0" w:hanging="0"/>
    </w:pPr>
    <w:rPr/>
  </w:style>
  <w:style w:type="paragraph" w:styleId="Style46">
    <w:name w:val="Разделитель предметного указателя"/>
    <w:basedOn w:val="Style34"/>
    <w:qFormat/>
    <w:pPr>
      <w:ind w:left="0" w:right="0" w:hanging="0"/>
    </w:pPr>
    <w:rPr/>
  </w:style>
  <w:style w:type="paragraph" w:styleId="Style47">
    <w:name w:val="TOC Heading"/>
    <w:basedOn w:val="Style30"/>
    <w:next w:val="111"/>
    <w:pPr>
      <w:ind w:left="0" w:right="0" w:hanging="0"/>
    </w:pPr>
    <w:rPr/>
  </w:style>
  <w:style w:type="paragraph" w:styleId="111">
    <w:name w:val="TOC 1"/>
    <w:basedOn w:val="Style34"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10">
    <w:name w:val="TOC 2"/>
    <w:basedOn w:val="Style34"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10">
    <w:name w:val="TOC 3"/>
    <w:basedOn w:val="Style34"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9">
    <w:name w:val="TOC 4"/>
    <w:basedOn w:val="Style34"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9">
    <w:name w:val="TOC 5"/>
    <w:basedOn w:val="Style34"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Style48">
    <w:name w:val="Заголовок указателей пользователя"/>
    <w:basedOn w:val="Style30"/>
    <w:qFormat/>
    <w:pPr/>
    <w:rPr/>
  </w:style>
  <w:style w:type="paragraph" w:styleId="112">
    <w:name w:val="Указатель пользователя 1"/>
    <w:basedOn w:val="Style34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11">
    <w:name w:val="Указатель пользователя 2"/>
    <w:basedOn w:val="Style34"/>
    <w:qFormat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11">
    <w:name w:val="Указатель пользователя 3"/>
    <w:basedOn w:val="Style34"/>
    <w:qFormat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10">
    <w:name w:val="Указатель пользователя 4"/>
    <w:basedOn w:val="Style34"/>
    <w:qFormat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10">
    <w:name w:val="Указатель пользователя 5"/>
    <w:basedOn w:val="Style34"/>
    <w:qFormat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61">
    <w:name w:val="TOC 6"/>
    <w:basedOn w:val="Style34"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1">
    <w:name w:val="TOC 7"/>
    <w:basedOn w:val="Style34"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1">
    <w:name w:val="TOC 8"/>
    <w:basedOn w:val="Style34"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1">
    <w:name w:val="TOC 9"/>
    <w:basedOn w:val="Style34"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1">
    <w:name w:val="Оглавление 10"/>
    <w:basedOn w:val="Style34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IllustrationIndex1">
    <w:name w:val="Illustration Index 1"/>
    <w:basedOn w:val="Style34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9">
    <w:name w:val="Заголовок списка объектов"/>
    <w:basedOn w:val="Style30"/>
    <w:qFormat/>
    <w:pPr>
      <w:ind w:left="0" w:right="0" w:hanging="0"/>
    </w:pPr>
    <w:rPr/>
  </w:style>
  <w:style w:type="paragraph" w:styleId="113">
    <w:name w:val="Список объектов 1"/>
    <w:basedOn w:val="Style34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0">
    <w:name w:val="Заголовок списка таблиц"/>
    <w:basedOn w:val="Style30"/>
    <w:qFormat/>
    <w:pPr>
      <w:ind w:left="0" w:right="0" w:hanging="0"/>
    </w:pPr>
    <w:rPr/>
  </w:style>
  <w:style w:type="paragraph" w:styleId="114">
    <w:name w:val="Список таблиц 1"/>
    <w:basedOn w:val="Style34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1">
    <w:name w:val="Table of Authorities"/>
    <w:basedOn w:val="Style30"/>
    <w:pPr>
      <w:ind w:left="0" w:right="0" w:hanging="0"/>
    </w:pPr>
    <w:rPr/>
  </w:style>
  <w:style w:type="paragraph" w:styleId="115">
    <w:name w:val="Библиография 1"/>
    <w:basedOn w:val="Style34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62">
    <w:name w:val="Указатель пользователя 6"/>
    <w:basedOn w:val="Style34"/>
    <w:qFormat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2">
    <w:name w:val="Указатель пользователя 7"/>
    <w:basedOn w:val="Style34"/>
    <w:qFormat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2">
    <w:name w:val="Указатель пользователя 8"/>
    <w:basedOn w:val="Style34"/>
    <w:qFormat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2">
    <w:name w:val="Указатель пользователя 9"/>
    <w:basedOn w:val="Style34"/>
    <w:qFormat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2">
    <w:name w:val="Указатель пользователя 10"/>
    <w:basedOn w:val="Style34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Style52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53">
    <w:name w:val="Head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4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5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6">
    <w:name w:val="Foot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7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8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9">
    <w:name w:val="Содержимое таблицы"/>
    <w:basedOn w:val="Normal"/>
    <w:qFormat/>
    <w:pPr/>
    <w:rPr/>
  </w:style>
  <w:style w:type="paragraph" w:styleId="Style60">
    <w:name w:val="Заголовок таблицы"/>
    <w:basedOn w:val="Style59"/>
    <w:qFormat/>
    <w:pPr>
      <w:jc w:val="center"/>
    </w:pPr>
    <w:rPr>
      <w:b/>
    </w:rPr>
  </w:style>
  <w:style w:type="paragraph" w:styleId="Style61">
    <w:name w:val="Иллюстрация"/>
    <w:basedOn w:val="Style33"/>
    <w:qFormat/>
    <w:pPr/>
    <w:rPr/>
  </w:style>
  <w:style w:type="paragraph" w:styleId="Style62">
    <w:name w:val="Таблица"/>
    <w:basedOn w:val="Style33"/>
    <w:qFormat/>
    <w:pPr/>
    <w:rPr/>
  </w:style>
  <w:style w:type="paragraph" w:styleId="Style63">
    <w:name w:val="Текст"/>
    <w:basedOn w:val="Style33"/>
    <w:qFormat/>
    <w:pPr/>
    <w:rPr/>
  </w:style>
  <w:style w:type="paragraph" w:styleId="Style64">
    <w:name w:val="Содержимое врезки"/>
    <w:basedOn w:val="Normal"/>
    <w:qFormat/>
    <w:pPr/>
    <w:rPr/>
  </w:style>
  <w:style w:type="paragraph" w:styleId="Style65">
    <w:name w:val="Footnote Text"/>
    <w:basedOn w:val="Normal"/>
    <w:pPr>
      <w:ind w:left="0" w:right="0" w:hanging="0"/>
      <w:jc w:val="left"/>
    </w:pPr>
    <w:rPr>
      <w:sz w:val="28"/>
      <w:szCs w:val="24"/>
    </w:rPr>
  </w:style>
  <w:style w:type="paragraph" w:styleId="Style66">
    <w:name w:val="Envelope Address"/>
    <w:basedOn w:val="Normal"/>
    <w:pPr>
      <w:spacing w:before="0" w:after="0"/>
    </w:pPr>
    <w:rPr/>
  </w:style>
  <w:style w:type="paragraph" w:styleId="Style67">
    <w:name w:val="Envelope Return"/>
    <w:basedOn w:val="Normal"/>
    <w:pPr>
      <w:spacing w:before="0" w:after="0"/>
    </w:pPr>
    <w:rPr/>
  </w:style>
  <w:style w:type="paragraph" w:styleId="Style68">
    <w:name w:val="Endnote Text"/>
    <w:basedOn w:val="Normal"/>
    <w:pPr>
      <w:ind w:left="0" w:right="0" w:hanging="0"/>
    </w:pPr>
    <w:rPr>
      <w:sz w:val="28"/>
      <w:szCs w:val="24"/>
    </w:rPr>
  </w:style>
  <w:style w:type="paragraph" w:styleId="Style69">
    <w:name w:val="Table of Figures"/>
    <w:basedOn w:val="Style33"/>
    <w:pPr/>
    <w:rPr/>
  </w:style>
  <w:style w:type="paragraph" w:styleId="Style70">
    <w:name w:val="Текст в заданном формате"/>
    <w:basedOn w:val="Normal"/>
    <w:qFormat/>
    <w:pPr>
      <w:spacing w:before="0" w:after="0"/>
    </w:pPr>
    <w:rPr>
      <w:rFonts w:ascii="PT Astra Serif" w:hAnsi="PT Astra Serif" w:eastAsia="Source Han Sans CN Regular" w:cs="Lohit Devanagari"/>
      <w:sz w:val="28"/>
      <w:szCs w:val="24"/>
    </w:rPr>
  </w:style>
  <w:style w:type="paragraph" w:styleId="Style71">
    <w:name w:val="Горизонтальная линия"/>
    <w:basedOn w:val="Normal"/>
    <w:next w:val="Style31"/>
    <w:qFormat/>
    <w:pPr>
      <w:pBdr>
        <w:bottom w:val="single" w:sz="8" w:space="0" w:color="000000"/>
      </w:pBdr>
      <w:spacing w:before="0" w:after="0"/>
    </w:pPr>
    <w:rPr>
      <w:sz w:val="4"/>
      <w:szCs w:val="24"/>
    </w:rPr>
  </w:style>
  <w:style w:type="paragraph" w:styleId="Style72">
    <w:name w:val="Содержимое списка"/>
    <w:basedOn w:val="Normal"/>
    <w:qFormat/>
    <w:pPr>
      <w:ind w:left="0" w:right="0" w:hanging="0"/>
    </w:pPr>
    <w:rPr/>
  </w:style>
  <w:style w:type="paragraph" w:styleId="Style73">
    <w:name w:val="Заголовок списка"/>
    <w:basedOn w:val="Normal"/>
    <w:next w:val="Style72"/>
    <w:qFormat/>
    <w:pPr>
      <w:ind w:left="0" w:right="0" w:hanging="0"/>
    </w:pPr>
    <w:rPr/>
  </w:style>
  <w:style w:type="paragraph" w:styleId="Style74">
    <w:name w:val="Гриф_Экземпляр"/>
    <w:basedOn w:val="Normal"/>
    <w:qFormat/>
    <w:pPr>
      <w:ind w:left="0" w:right="0" w:hanging="0"/>
    </w:pPr>
    <w:rPr>
      <w:sz w:val="24"/>
    </w:rPr>
  </w:style>
  <w:style w:type="paragraph" w:styleId="Style75">
    <w:name w:val="Исполнитель документа"/>
    <w:basedOn w:val="Normal"/>
    <w:qFormat/>
    <w:pPr>
      <w:jc w:val="left"/>
    </w:pPr>
    <w:rPr>
      <w:sz w:val="24"/>
    </w:rPr>
  </w:style>
  <w:style w:type="paragraph" w:styleId="Style76">
    <w:name w:val="Заголовок списка иллюстраций"/>
    <w:basedOn w:val="Style30"/>
    <w:qFormat/>
    <w:pPr>
      <w:suppressLineNumbers/>
      <w:ind w:left="0" w:right="0" w:hanging="0"/>
      <w:jc w:val="center"/>
    </w:pPr>
    <w:rPr/>
  </w:style>
  <w:style w:type="paragraph" w:styleId="ListParagraph">
    <w:name w:val="List Paragraph"/>
    <w:basedOn w:val="Normal"/>
    <w:qFormat/>
    <w:pPr>
      <w:spacing w:before="0" w:after="160"/>
      <w:ind w:left="720" w:right="0" w:hanging="0"/>
      <w:contextualSpacing/>
    </w:pPr>
    <w:rPr/>
  </w:style>
  <w:style w:type="numbering" w:styleId="123">
    <w:name w:val="Нумерованный 123"/>
    <w:qFormat/>
  </w:style>
  <w:style w:type="numbering" w:styleId="ABC">
    <w:name w:val="Нумерованный ABC"/>
    <w:qFormat/>
  </w:style>
  <w:style w:type="numbering" w:styleId="Abc1">
    <w:name w:val="Нумерованный abc"/>
    <w:qFormat/>
  </w:style>
  <w:style w:type="numbering" w:styleId="IVX">
    <w:name w:val="Нумерованный IVX"/>
    <w:qFormat/>
  </w:style>
  <w:style w:type="numbering" w:styleId="Ivx1">
    <w:name w:val="Нумерованный ivx"/>
    <w:qFormat/>
  </w:style>
  <w:style w:type="numbering" w:styleId="Style77">
    <w:name w:val="Маркированный •"/>
    <w:qFormat/>
  </w:style>
  <w:style w:type="numbering" w:styleId="Style78">
    <w:name w:val="Маркированный –"/>
    <w:qFormat/>
  </w:style>
  <w:style w:type="numbering" w:styleId="Style79">
    <w:name w:val="Маркированный "/>
    <w:qFormat/>
  </w:style>
  <w:style w:type="numbering" w:styleId="Style80">
    <w:name w:val="Маркированный "/>
    <w:qFormat/>
  </w:style>
  <w:style w:type="numbering" w:styleId="Style81">
    <w:name w:val="Маркированный "/>
    <w:qFormat/>
  </w:style>
  <w:style w:type="numbering" w:styleId="116">
    <w:name w:val="Нумерованный 1)"/>
    <w:qFormat/>
  </w:style>
  <w:style w:type="numbering" w:styleId="Style82">
    <w:name w:val="Нумерованный а)"/>
    <w:qFormat/>
  </w:style>
  <w:style w:type="numbering" w:styleId="Style83">
    <w:name w:val="Нумерованный для таблиц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LibreOffice/7.5.2.1$Linux_X86_64 LibreOffice_project/50$Build-1</Application>
  <AppVersion>15.0000</AppVersion>
  <Pages>8</Pages>
  <Words>1772</Words>
  <Characters>13420</Characters>
  <CharactersWithSpaces>15119</CharactersWithSpaces>
  <Paragraphs>183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2024-01-19T11:53:45Z</dcterms:created>
  <dc:creator/>
  <dc:description/>
  <dc:language>ru-RU</dc:language>
  <cp:lastModifiedBy/>
  <dcterms:modified xsi:type="dcterms:W3CDTF">2024-01-19T11:57:38Z</dcterms:modified>
  <cp:revision>2</cp:revision>
  <dc:subject/>
  <dc:title>Default</dc:title>
</cp:coreProperties>
</file>